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B2" w:rsidRPr="004F55B2" w:rsidRDefault="004F55B2" w:rsidP="004F55B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Чем грозит неофициальное трудоустройство работодателю и работнику</w:t>
      </w:r>
    </w:p>
    <w:p w:rsidR="004F55B2" w:rsidRPr="004F55B2" w:rsidRDefault="004F55B2" w:rsidP="004F55B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26.11.2015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Неофициальное трудоустройство. Положение работника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Заключение договора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советских времен отечественное трудовое законодательство придерживается принципа: если работник приступил к работе, то вне зависимости, подписан ли трудовой договор, или нет, работник считается принятым на работу совершенно официально.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действующем Трудовом кодексе РФ на это указывают следующие нормы: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«Трудовые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оформлен» (статья 16 ТК РФ).</w:t>
      </w:r>
      <w:proofErr w:type="gramEnd"/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«Трудовой договор вступает в силу со дня его подписания работником и работодателем,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 представителя» (Ст. 61 ТК РФ).</w:t>
      </w:r>
      <w:proofErr w:type="gramEnd"/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«Трудовой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ведома</w:t>
      </w:r>
      <w:proofErr w:type="gramEnd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работе» (Ст. 67 ТК РФ).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Статьей 70 ТК РФ установлено исключение: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«В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работы».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Узаконив трудовые отношения, то есть, </w:t>
      </w:r>
      <w:proofErr w:type="gramStart"/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добившись их надлежащего оформления и отчислений работник получает гарантии, установленные</w:t>
      </w:r>
      <w:proofErr w:type="gramEnd"/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законом, то есть, как минимум: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ему будут обязаны выплачивать зарплату в полном объеме по договору, а не скажут "мы вас не знаем, вас тут не работало";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работник будет иметь возможность получить оплачиваемый отпуск и больничный;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работник будет застрахован;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его пенсионный счет будут направляться отчисления;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рабочий день будет регламентирован, а не будет определяться работодателем по своему усмотрению и т.д.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Работник во многом зависим от работодателя, но вместе с тем </w:t>
      </w:r>
      <w:r w:rsidRPr="004F55B2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он - равная сторона</w:t>
      </w: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договора и трудовых отношений.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Что грозит работодателю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будет установлен факт неофициального трудоустройства, то работодателю грозит целый букет неприятностей, в числе которых: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Административная ответственность по ст.5.27 Кодекса об административных правонарушениях РФ: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1. Нарушение законодательства о труде и об охране труда -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влечет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 или административное приостановление деятельности на срок до девяноста суток; на юридических лиц - от тридцати тысяч до пятидесяти тысяч рублей или административное приостановление деятельности на срок до девяноста суток.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2. Нарушение законодательства о труде и об охране труда должностным лицом, ранее подвергнутым административному наказанию за аналогичное административное правонарушение -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влечет дисквалификацию на срок от одного года до трех лет.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Налоговая ответственность: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ст. 123 Налогового кодекса РФ к работодателю, как к налоговому агенту, обязанному удерживать налоги с зарплаты: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Неправомерное </w:t>
      </w:r>
      <w:proofErr w:type="spell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неудержание</w:t>
      </w:r>
      <w:proofErr w:type="spellEnd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и (или) </w:t>
      </w:r>
      <w:proofErr w:type="spell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неперечисление</w:t>
      </w:r>
      <w:proofErr w:type="spellEnd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(неполное удержание и (или) перечисление) в установленный настоящим Кодексом срок сумм налога, подлежащего удержанию и перечислению налоговым агентом, влечет взыскание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штрафа в размере 20 процентов от суммы, подлежащей удержанию 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и (или) перечислению.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Уголовная ответственность</w:t>
      </w: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статье 199.1 Уголовного кодекса РФ: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"Статья 199.1. Неисполнение обязанностей налогового агента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1. Неисполнение в личных интересах обязанностей налогового агента по исчислению, удержанию или перечислению налогов и (или)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 (внебюджетный фонд), совершенное в крупном размере, -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</w:t>
      </w:r>
      <w:proofErr w:type="gramEnd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месяцев,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2. То же деяние, совершенное в особо крупном размере, -</w:t>
      </w:r>
    </w:p>
    <w:p w:rsidR="004F55B2" w:rsidRPr="004F55B2" w:rsidRDefault="004F55B2" w:rsidP="004F55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</w:pPr>
      <w:proofErr w:type="gramStart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шести</w:t>
      </w:r>
      <w:proofErr w:type="gramEnd"/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 xml:space="preserve">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u w:val="single"/>
          <w:lang w:eastAsia="ru-RU"/>
        </w:rPr>
        <w:t>Примечание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: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Крупным размером 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признается сумма налогов и (или) сборов, составляющая за период в пределах трех финансовых лет подряд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более двух миллионов рублей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 при условии, что доля неуплаченных налогов и (или) сборов превышает 10 процентов подлежащих уплате сумм налогов и (или) сборов, либо превышающая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шесть миллионов рублей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.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Особо крупным размером 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- сумма, составляющая за период в пределах трех финансовых лет подряд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более десяти миллионов рублей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, при условии, что доля неуплаченных налогов и (или) сборов превышает 20 процентов подлежащих уплате сумм налогов и (или) сборов, либо превышающая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тридцать миллионов рублей.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пенсионному законодательству </w:t>
      </w: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(Федеральному закону от 1 апреля 1996 г. N 27-ФЗ "Об индивидуальном (персонифицированном) учете в системе обязательного пенсионного страхования"):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непредставление в установленные сроки сведений, необходимых для осуществления индивидуального (персонифицированного) учета в системе обязательного пенсионного страхования либо представление неполных и (или) недостоверных сведений к страхователям, в том числе физическим лицам, самостоятельно уплачивающим страховые взносы, применяются финансовые санкции </w:t>
      </w: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виде взыскания 10 процентов причитающихся за отчетный год платежей в Пенсионный фонд Российской Федерации</w:t>
      </w: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proofErr w:type="gramEnd"/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Похожие санкции в виде штрафов имеются за </w:t>
      </w:r>
      <w:proofErr w:type="spellStart"/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неперечисление</w:t>
      </w:r>
      <w:proofErr w:type="spellEnd"/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отчислений по медицинскому страхованию, страхованию от несчастных случаев.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 этом взыскание штрафов не освобождает от необходимости устранения нарушения.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Что грозит работнику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Налоговая ответственность по ч.1 ст. 122 Налогового кодекса РФ:</w:t>
      </w:r>
    </w:p>
    <w:p w:rsidR="004F55B2" w:rsidRPr="004F55B2" w:rsidRDefault="004F55B2" w:rsidP="004F55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Неуплата или неполная уплата сумм налога (сбора) в результате занижения налоговой базы, иного неправильного исчисления налога (сбора) или других неправомерных действий (бездействия) влечет взыскание </w:t>
      </w:r>
      <w:r w:rsidRPr="004F55B2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lang w:eastAsia="ru-RU"/>
        </w:rPr>
        <w:t>штрафа в размере 20 процентов от неуплаченной суммы налога </w:t>
      </w:r>
      <w:r w:rsidRPr="004F55B2">
        <w:rPr>
          <w:rFonts w:ascii="Verdana" w:eastAsia="Times New Roman" w:hAnsi="Verdana" w:cs="Times New Roman"/>
          <w:i/>
          <w:iCs/>
          <w:color w:val="052635"/>
          <w:sz w:val="17"/>
          <w:szCs w:val="17"/>
          <w:lang w:eastAsia="ru-RU"/>
        </w:rPr>
        <w:t>(сбора).</w:t>
      </w:r>
    </w:p>
    <w:p w:rsidR="00984165" w:rsidRDefault="00984165"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B2"/>
    <w:rsid w:val="004F55B2"/>
    <w:rsid w:val="0080376E"/>
    <w:rsid w:val="00984165"/>
    <w:rsid w:val="00B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F55B2"/>
  </w:style>
  <w:style w:type="paragraph" w:styleId="a3">
    <w:name w:val="Normal (Web)"/>
    <w:basedOn w:val="a"/>
    <w:uiPriority w:val="99"/>
    <w:semiHidden/>
    <w:unhideWhenUsed/>
    <w:rsid w:val="004F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F55B2"/>
  </w:style>
  <w:style w:type="paragraph" w:styleId="a3">
    <w:name w:val="Normal (Web)"/>
    <w:basedOn w:val="a"/>
    <w:uiPriority w:val="99"/>
    <w:semiHidden/>
    <w:unhideWhenUsed/>
    <w:rsid w:val="004F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2023-07-03T04:59:00Z</dcterms:created>
  <dcterms:modified xsi:type="dcterms:W3CDTF">2023-07-03T04:59:00Z</dcterms:modified>
</cp:coreProperties>
</file>