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3B" w:rsidRDefault="00E0653B" w:rsidP="00FA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4288" w:rsidRDefault="00B954C8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 xml:space="preserve"> реализации национального проекта «Демография» </w:t>
      </w:r>
      <w:r w:rsidR="00FA1174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FA1174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FA117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A117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C509C" w:rsidRPr="00AC509C" w:rsidRDefault="00B80865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04C4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A5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EBA">
        <w:rPr>
          <w:rFonts w:ascii="Times New Roman" w:hAnsi="Times New Roman" w:cs="Times New Roman"/>
          <w:b/>
          <w:sz w:val="24"/>
          <w:szCs w:val="24"/>
        </w:rPr>
        <w:t>квартал 2024</w:t>
      </w:r>
      <w:r w:rsidR="00D859EA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314288" w:rsidRPr="009B5419" w:rsidRDefault="00314288" w:rsidP="00107BB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3F06F7" w:rsidRPr="00A65971" w:rsidRDefault="00FA1174" w:rsidP="006853BF">
      <w:pPr>
        <w:spacing w:after="0" w:line="240" w:lineRule="auto"/>
        <w:ind w:left="142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A65971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Демографическая ситуация</w:t>
      </w:r>
    </w:p>
    <w:p w:rsidR="003A3438" w:rsidRPr="00A65971" w:rsidRDefault="003A3438" w:rsidP="005263AC">
      <w:pPr>
        <w:pStyle w:val="a3"/>
        <w:spacing w:after="0"/>
        <w:jc w:val="both"/>
      </w:pPr>
    </w:p>
    <w:p w:rsidR="00104C4B" w:rsidRPr="00104C4B" w:rsidRDefault="0069342C" w:rsidP="00104C4B">
      <w:pPr>
        <w:pStyle w:val="a3"/>
        <w:spacing w:after="0"/>
        <w:jc w:val="both"/>
      </w:pPr>
      <w:r w:rsidRPr="00A65971">
        <w:t xml:space="preserve">     </w:t>
      </w:r>
      <w:r w:rsidR="00104C4B" w:rsidRPr="00A65971">
        <w:t xml:space="preserve">   Отделом ЗАГС Администрации МО «Муниципальный округ </w:t>
      </w:r>
      <w:proofErr w:type="spellStart"/>
      <w:r w:rsidR="00104C4B" w:rsidRPr="00A65971">
        <w:t>Можгинский</w:t>
      </w:r>
      <w:proofErr w:type="spellEnd"/>
      <w:r w:rsidR="00104C4B" w:rsidRPr="00A65971">
        <w:t xml:space="preserve"> район Удмуртской Республики» в 3 квартале зарегистрировано 184 акта гражданского состояния. Из них 98 </w:t>
      </w:r>
      <w:proofErr w:type="gramStart"/>
      <w:r w:rsidR="00104C4B" w:rsidRPr="00A65971">
        <w:t>смертей,  34</w:t>
      </w:r>
      <w:proofErr w:type="gramEnd"/>
      <w:r w:rsidR="00104C4B" w:rsidRPr="00A65971">
        <w:t xml:space="preserve"> рождения</w:t>
      </w:r>
      <w:r w:rsidR="00104C4B" w:rsidRPr="00A65971">
        <w:rPr>
          <w:b/>
        </w:rPr>
        <w:t>,</w:t>
      </w:r>
      <w:r w:rsidR="00104C4B" w:rsidRPr="00A65971">
        <w:t xml:space="preserve"> 34 брака, 13 разводов, 5 установлений</w:t>
      </w:r>
      <w:r w:rsidR="00104C4B">
        <w:t xml:space="preserve"> отцовства.</w:t>
      </w:r>
      <w:r w:rsidR="00104C4B" w:rsidRPr="00104C4B">
        <w:t xml:space="preserve"> Из 34 записей актов о рождении 14 записи составлены в отношении мальчиков, 20 – девочек. 22 ребенка родились в </w:t>
      </w:r>
      <w:proofErr w:type="gramStart"/>
      <w:r w:rsidR="00104C4B" w:rsidRPr="00104C4B">
        <w:t>семьях,  родители</w:t>
      </w:r>
      <w:proofErr w:type="gramEnd"/>
      <w:r w:rsidR="00104C4B" w:rsidRPr="00104C4B">
        <w:t xml:space="preserve"> которых состо</w:t>
      </w:r>
      <w:r w:rsidR="00104C4B">
        <w:t xml:space="preserve">ят в зарегистрированном браке, </w:t>
      </w:r>
      <w:r w:rsidR="00104C4B" w:rsidRPr="00104C4B">
        <w:t>12 детей рождены матерями, не состоящими в браке, в том числе 1 несовершеннолетней девушкой.</w:t>
      </w:r>
    </w:p>
    <w:p w:rsidR="00104C4B" w:rsidRPr="00104C4B" w:rsidRDefault="00104C4B" w:rsidP="00104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>Первых детей родилось - 11, вторых – 10, третьих-8, четвертых – 3, пятых -1,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шестых-1.       </w:t>
      </w:r>
    </w:p>
    <w:p w:rsidR="00104C4B" w:rsidRPr="00104C4B" w:rsidRDefault="00104C4B" w:rsidP="00104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За отчетный период составлено 98 актов о смерти, из них 62 мужчины и 36 женщин. Большинство мужчин умерло в возрасте 18-60 лет, а женщин- 70 лет и старше.</w:t>
      </w:r>
    </w:p>
    <w:p w:rsidR="00104C4B" w:rsidRPr="00104C4B" w:rsidRDefault="00104C4B" w:rsidP="00104C4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Причиной смерти большинства граждан по-прежнему стали сердечно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Start"/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>сосудистые  заболевания</w:t>
      </w:r>
      <w:proofErr w:type="gramEnd"/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поражения головного мозга, на втором месте - онкологические заболевания и на третьем месте заболевания внутренних органов.</w:t>
      </w:r>
    </w:p>
    <w:p w:rsidR="00104C4B" w:rsidRPr="00104C4B" w:rsidRDefault="00104C4B" w:rsidP="00104C4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По иным причинам: 1 несчастный случай, 2 причины смерти не установлены, 2 утопления. Зарегистрировано 16 смертей - участников СВО.</w:t>
      </w:r>
    </w:p>
    <w:p w:rsidR="00104C4B" w:rsidRPr="00104C4B" w:rsidRDefault="00104C4B" w:rsidP="00104C4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Заключили брак 34 пары, из них 9 в торжественной обстановке. </w:t>
      </w:r>
    </w:p>
    <w:p w:rsidR="00104C4B" w:rsidRPr="00104C4B" w:rsidRDefault="00104C4B" w:rsidP="00104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До истечения месячного срока зарегистрировано 15 браков, причиной являлась в 8 случаях- наличие у супругов общих детей и 7- с военнослужащими. </w:t>
      </w:r>
    </w:p>
    <w:p w:rsidR="00104C4B" w:rsidRPr="00104C4B" w:rsidRDefault="00104C4B" w:rsidP="00104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Расторжений браков зарегистрировано 13, из них 11 на основании решения суда, 1- по взаимному согласию супругов, не имеющих детей, не достигших совершеннолетия, </w:t>
      </w:r>
    </w:p>
    <w:p w:rsidR="00104C4B" w:rsidRPr="00104C4B" w:rsidRDefault="00104C4B" w:rsidP="00104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1- по заявлению одного из супругов. </w:t>
      </w:r>
    </w:p>
    <w:p w:rsidR="00104C4B" w:rsidRPr="00104C4B" w:rsidRDefault="00104C4B" w:rsidP="00104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5 актов составлено об установлении отцовства по совместному заявлению отца и матери ребенка, не состоящих в браке на момент рождения ребенка.</w:t>
      </w:r>
    </w:p>
    <w:p w:rsidR="00104C4B" w:rsidRPr="00104C4B" w:rsidRDefault="00104C4B" w:rsidP="00104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За 3 квартал актов о перемене имени и об усыновлении не зарегистрировано.  </w:t>
      </w:r>
    </w:p>
    <w:p w:rsidR="00104C4B" w:rsidRPr="00104C4B" w:rsidRDefault="00104C4B" w:rsidP="00104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По заявлениям граждан выдано 77 повторных свидетельств и 165 справок о государственной регистрации актов гражданского состояния.</w:t>
      </w:r>
    </w:p>
    <w:p w:rsidR="0069342C" w:rsidRPr="00104C4B" w:rsidRDefault="00104C4B" w:rsidP="00104C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Прочествовано</w:t>
      </w:r>
      <w:proofErr w:type="spellEnd"/>
      <w:r w:rsidRP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семейных пар, отметившие 50-летие совместной жизни. Имена всех супругов занесены в Книгу почётных семей </w:t>
      </w:r>
      <w:proofErr w:type="spellStart"/>
      <w:r w:rsidRP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810C6" w:rsidRPr="00657D9B" w:rsidRDefault="00E810C6" w:rsidP="006853B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E" w:rsidRPr="00E810C6" w:rsidRDefault="00CB2A47" w:rsidP="002F75BE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E810C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Проект: «Финансовая поддержка </w:t>
      </w:r>
      <w:r w:rsidR="006D6A16" w:rsidRPr="00E810C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семей при рождении детей»</w:t>
      </w:r>
    </w:p>
    <w:p w:rsidR="000A6584" w:rsidRPr="000A6584" w:rsidRDefault="00C07430" w:rsidP="000A658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584"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в городе Можге КУ УР «Республиканский центр социальных выплат» в рамках Национального проекта «Демография» по проекту «Финансовая поддержка семей при рождении детей» по состоянию на 01 октября 2024 года осуществил следующие выплаты гражданам </w:t>
      </w:r>
      <w:proofErr w:type="spellStart"/>
      <w:r w:rsidR="000A6584"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0A6584"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0A6584" w:rsidRPr="000A6584" w:rsidRDefault="000A6584" w:rsidP="000A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выплата при рождении (усыновлении) первого ребенка:</w:t>
      </w:r>
    </w:p>
    <w:p w:rsidR="000A6584" w:rsidRPr="000A6584" w:rsidRDefault="000A6584" w:rsidP="000A65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выплаты при рождении (усыновлении) первого ребенка. Функции по назначению и выплате переданы полностью в СФР.</w:t>
      </w:r>
    </w:p>
    <w:p w:rsidR="000A6584" w:rsidRPr="000A6584" w:rsidRDefault="000A6584" w:rsidP="000A6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при рождении в семье после 31 декабря 2017 года третьего и последующих детей,</w:t>
      </w:r>
      <w:r w:rsidRPr="000A65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позднее 31 декабря 2022 года</w:t>
      </w:r>
      <w:r w:rsidRPr="000A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A6584" w:rsidRPr="000A6584" w:rsidRDefault="000A6584" w:rsidP="000A6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выплату получил 251 человек на сумму 19 667 256 рублей 81 копейка</w:t>
      </w:r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584" w:rsidRPr="000A6584" w:rsidRDefault="000A6584" w:rsidP="000A65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01.01.2018 вступил в силу Указ Главы Удмуртской Республики от 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детей». </w:t>
      </w:r>
    </w:p>
    <w:p w:rsidR="000A6584" w:rsidRPr="000A6584" w:rsidRDefault="000A6584" w:rsidP="000A65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Выплата 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3-х лет, в целях оказания финансовой поддержки семьям, имеющим трех и более детей, в которых среднедушевой доход на каждого члена семьи не превышал 29 982,00 рубля, установленного законодательством. Размер выплаты на 3-го ребенка составлял 13 340,00 рублей;</w:t>
      </w:r>
    </w:p>
    <w:p w:rsidR="000A6584" w:rsidRPr="000A6584" w:rsidRDefault="000A6584" w:rsidP="000A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и выплаты при рождении третьего и последующих детей.</w:t>
      </w:r>
    </w:p>
    <w:p w:rsidR="000A6584" w:rsidRPr="000A6584" w:rsidRDefault="000A6584" w:rsidP="000A6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на ребенка в возрасте от 3 до 7 лет включительно:</w:t>
      </w:r>
    </w:p>
    <w:p w:rsidR="000A6584" w:rsidRPr="000A6584" w:rsidRDefault="000A6584" w:rsidP="000A65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выплаты на ребенка в возрасте от 3 до 7 лет включительно. Функции по назначению и выплате переданы полностью в СФР с 01.01.2024 года.</w:t>
      </w:r>
    </w:p>
    <w:p w:rsidR="000A6584" w:rsidRPr="000A6584" w:rsidRDefault="000A6584" w:rsidP="000A6584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6584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 xml:space="preserve">Оказание мер социальной поддержки многодетным семьям, </w:t>
      </w:r>
      <w:r w:rsidRPr="000A65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том числе получение безвозмездной субсидии на строительство, реконструкцию, капитальный ремонт или приобретение жилого помещения.</w:t>
      </w:r>
    </w:p>
    <w:p w:rsidR="000A6584" w:rsidRPr="000A6584" w:rsidRDefault="000A6584" w:rsidP="000A658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5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учете в филиале в городе Можге на 01.10.2024 года состоит 862 семьи, из них 224 семей среднедушевой доход которых, превышает величину прожиточного минимума и 638 семей среднедушевой доход которых, не превышает величину прожиточного минимума. За период с 01.01.2024 по 30.09.2024 года установили статус многодетной семьи 585 семей, из них признано малообеспеченными семьями – 412 семей. 410 проездных билета на проезд в общественном транспорте выдано учащимся общеобразовательных, профессиональных образовательных организаций. </w:t>
      </w:r>
    </w:p>
    <w:p w:rsidR="000A6584" w:rsidRPr="000A6584" w:rsidRDefault="000A6584" w:rsidP="000A658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5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Полномочия по предоставлению безвозмездной субсидии на строительство, реконструкцию, капитальный ремонт или приобретение жилого помещения многодетным семьям с 01 июня 2023 переданы в БУ УР «Центр жилищных инициатив». </w:t>
      </w:r>
    </w:p>
    <w:p w:rsidR="000A6584" w:rsidRPr="000A6584" w:rsidRDefault="000A6584" w:rsidP="000A6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постановлением Правительства Удмуртской Республики от 23.05.2023 № 331 «О внесении изменений в постановление Правительства Удмуртской Республики от 16.12.2013 № 589 «О предоставлении государственной социальной помощи на основании социального контракта» филиалом в городе Можге с 01.01.2024 по 30.09.2024 по </w:t>
      </w:r>
      <w:proofErr w:type="spellStart"/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0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заключено 40 социальных контрактов с малоимущими семьями и малоимущими гражданами, находящимися в трудной жизненной ситуации, на следующие мероприятия: </w:t>
      </w:r>
    </w:p>
    <w:p w:rsidR="000A6584" w:rsidRPr="00A65971" w:rsidRDefault="000A6584" w:rsidP="000A658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971">
        <w:rPr>
          <w:rFonts w:ascii="Times New Roman" w:eastAsia="Calibri" w:hAnsi="Times New Roman" w:cs="Times New Roman"/>
          <w:sz w:val="24"/>
          <w:szCs w:val="24"/>
        </w:rPr>
        <w:t xml:space="preserve">31 – по поиску работы; </w:t>
      </w:r>
    </w:p>
    <w:p w:rsidR="000A6584" w:rsidRPr="00A65971" w:rsidRDefault="000A6584" w:rsidP="000A658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971">
        <w:rPr>
          <w:rFonts w:ascii="Times New Roman" w:eastAsia="Calibri" w:hAnsi="Times New Roman" w:cs="Times New Roman"/>
          <w:sz w:val="24"/>
          <w:szCs w:val="24"/>
        </w:rPr>
        <w:t>2 – на развитие личного подсобного хозяйства;</w:t>
      </w:r>
    </w:p>
    <w:p w:rsidR="000A6584" w:rsidRPr="00A65971" w:rsidRDefault="000A6584" w:rsidP="000A658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971">
        <w:rPr>
          <w:rFonts w:ascii="Times New Roman" w:eastAsia="Calibri" w:hAnsi="Times New Roman" w:cs="Times New Roman"/>
          <w:sz w:val="24"/>
          <w:szCs w:val="24"/>
        </w:rPr>
        <w:t>7 – по осуществлению индивидуальной предпринимательской деятельности.</w:t>
      </w:r>
    </w:p>
    <w:p w:rsidR="00C07430" w:rsidRPr="00A65971" w:rsidRDefault="00C07430" w:rsidP="000A658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343" w:rsidRPr="00A65971" w:rsidRDefault="00697239" w:rsidP="000A658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71">
        <w:rPr>
          <w:rFonts w:ascii="Times New Roman" w:hAnsi="Times New Roman" w:cs="Times New Roman"/>
          <w:b/>
          <w:sz w:val="24"/>
          <w:szCs w:val="24"/>
        </w:rPr>
        <w:t>2</w:t>
      </w:r>
      <w:r w:rsidRPr="00A65971">
        <w:rPr>
          <w:rFonts w:ascii="Times New Roman" w:hAnsi="Times New Roman" w:cs="Times New Roman"/>
          <w:sz w:val="24"/>
          <w:szCs w:val="24"/>
        </w:rPr>
        <w:t xml:space="preserve">. </w:t>
      </w:r>
      <w:r w:rsidR="00635343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муниципальной подпрогра</w:t>
      </w:r>
      <w:r w:rsidR="003032D3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ммой «Социальная поддержка семьи</w:t>
      </w:r>
      <w:r w:rsidR="00635343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детей» и «Социальная поддержка отдельных категорий граждан» </w:t>
      </w:r>
      <w:r w:rsidR="00004E26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муниципального образования «Муниципальный округ </w:t>
      </w:r>
      <w:proofErr w:type="spellStart"/>
      <w:r w:rsidR="00004E26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004E26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</w:t>
      </w:r>
      <w:r w:rsidR="00004E26" w:rsidRPr="00A65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поддержка населения</w:t>
      </w:r>
      <w:r w:rsidR="00004E26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7BDC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2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7C45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485C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C45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2024 года </w:t>
      </w:r>
      <w:r w:rsidR="005B7BDC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назначена </w:t>
      </w:r>
      <w:r w:rsidR="001A2162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денежная выплата </w:t>
      </w:r>
      <w:r w:rsidR="002E7C45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A1EBA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A6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малоимущим семьям и малоимущим одиноко проживающим гражданам, а также гражданам, находящимся в трудной жизненной ситуации, </w:t>
      </w:r>
      <w:r w:rsidR="002E7C45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16</w:t>
      </w:r>
      <w:r w:rsidR="005B7BDC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EA2200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мьям с детьми, на общую сумму </w:t>
      </w:r>
      <w:r w:rsidR="000924A0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>51,5</w:t>
      </w:r>
      <w:r w:rsidR="00666E7A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A659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A1E84" w:rsidRPr="00A65971" w:rsidRDefault="006A1E84" w:rsidP="006A1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3" w:rsidRPr="00E810C6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A65971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Проект: «Содействие занятости женщин - создание условий дошкольного образования для детей в возрасте до трех лет»</w:t>
      </w:r>
    </w:p>
    <w:p w:rsidR="00E2401B" w:rsidRPr="00FA56C7" w:rsidRDefault="00E2401B" w:rsidP="00D77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F65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 Республикан</w:t>
      </w:r>
      <w:r w:rsidR="001F656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ЦЗН 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«ЦЗН города Можги и 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</w:t>
      </w:r>
      <w:r w:rsidR="00B0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C07430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2024</w:t>
      </w:r>
      <w:r w:rsidR="0006488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239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</w:t>
      </w:r>
      <w:proofErr w:type="gramEnd"/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достижению муниципальных показателей муниципального образования «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региональной составляющей «Содействие занятости женщин - </w:t>
      </w:r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дошкольного образования для детей в возрасте до 3 лет» национального проекта «Демография»:</w:t>
      </w:r>
    </w:p>
    <w:p w:rsidR="00E2401B" w:rsidRPr="00FA56C7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3206"/>
        <w:gridCol w:w="6372"/>
      </w:tblGrid>
      <w:tr w:rsidR="00E2401B" w:rsidRPr="00FA56C7" w:rsidTr="001A2162">
        <w:tc>
          <w:tcPr>
            <w:tcW w:w="560" w:type="dxa"/>
          </w:tcPr>
          <w:p w:rsidR="00E2401B" w:rsidRPr="00FA56C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3234" w:type="dxa"/>
          </w:tcPr>
          <w:p w:rsidR="00E2401B" w:rsidRPr="00FA56C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FA56C7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FA56C7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FA56C7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6485" w:type="dxa"/>
          </w:tcPr>
          <w:p w:rsidR="00E2401B" w:rsidRPr="00FA56C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E2401B" w:rsidRPr="00FA56C7" w:rsidTr="00A625F3">
        <w:tc>
          <w:tcPr>
            <w:tcW w:w="10279" w:type="dxa"/>
            <w:gridSpan w:val="3"/>
          </w:tcPr>
          <w:p w:rsidR="00E2401B" w:rsidRPr="00FA56C7" w:rsidRDefault="00E2401B" w:rsidP="00E2401B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val="ru-RU" w:eastAsia="ru-RU"/>
              </w:rPr>
              <w:t>Достижение 100% доступности дошкольного образования для детей в возрасте до 3 лет</w:t>
            </w:r>
          </w:p>
        </w:tc>
      </w:tr>
      <w:tr w:rsidR="00E2401B" w:rsidRPr="00FA56C7" w:rsidTr="001A2162">
        <w:tc>
          <w:tcPr>
            <w:tcW w:w="560" w:type="dxa"/>
          </w:tcPr>
          <w:p w:rsidR="00E2401B" w:rsidRPr="00FA56C7" w:rsidRDefault="00314288" w:rsidP="00AC509C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  <w:tc>
          <w:tcPr>
            <w:tcW w:w="3234" w:type="dxa"/>
          </w:tcPr>
          <w:p w:rsidR="00E2401B" w:rsidRPr="007B53D2" w:rsidRDefault="00E2401B" w:rsidP="00AC509C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7B53D2">
              <w:rPr>
                <w:rFonts w:eastAsia="Times New Roman"/>
                <w:lang w:val="ru-RU" w:eastAsia="ru-RU"/>
              </w:rPr>
              <w:t>Профессиональное обучение женщин, находящихся в отпуске по уходу за ребенком  до достижения им возраста трех лет</w:t>
            </w:r>
          </w:p>
        </w:tc>
        <w:tc>
          <w:tcPr>
            <w:tcW w:w="6485" w:type="dxa"/>
          </w:tcPr>
          <w:p w:rsidR="00E2401B" w:rsidRPr="007B53D2" w:rsidRDefault="0000791E" w:rsidP="00B061A4">
            <w:pPr>
              <w:jc w:val="both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u w:val="single"/>
              </w:rPr>
            </w:pPr>
            <w:r w:rsidRPr="007B53D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</w:t>
            </w:r>
            <w:r w:rsidR="00B061A4" w:rsidRPr="00B061A4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  2024 году  10 женщин, находящихся в отпуске по уходу за ребенком  до достижения им возраста трех лет приступили к обучению, в рамках </w:t>
            </w:r>
            <w:r w:rsidR="00B061A4"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Постановления РФ № 201 от 21.02.2024 г.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граждан» в рамках федерального проекта «Содействие занятости» национального проекта «Демография».</w:t>
            </w:r>
          </w:p>
        </w:tc>
      </w:tr>
    </w:tbl>
    <w:p w:rsidR="00E2401B" w:rsidRPr="00FA56C7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p w:rsidR="006D6A16" w:rsidRPr="00FA56C7" w:rsidRDefault="001F656A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A65971">
        <w:rPr>
          <w:rFonts w:cs="Times New Roman"/>
          <w:b/>
          <w:bCs/>
          <w:color w:val="171717"/>
          <w:u w:val="single"/>
          <w:lang w:val="ru-RU"/>
        </w:rPr>
        <w:t>Проект: «Старшее поколение</w:t>
      </w:r>
      <w:r w:rsidR="006D6A16" w:rsidRPr="00A65971">
        <w:rPr>
          <w:rFonts w:cs="Times New Roman"/>
          <w:b/>
          <w:bCs/>
          <w:color w:val="171717"/>
          <w:u w:val="single"/>
          <w:lang w:val="ru-RU"/>
        </w:rPr>
        <w:t>»</w:t>
      </w:r>
    </w:p>
    <w:p w:rsidR="00804CAE" w:rsidRPr="00FA56C7" w:rsidRDefault="00804CAE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CAE" w:rsidRPr="00FA56C7" w:rsidRDefault="00804CAE" w:rsidP="00804CA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бюджетного учреждения социального обслуживания УР «Республиканский комплексный центр социального обслуживания населения» в городе Можге и 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реализуются мероприятия по достижению муниципальных показателей муниципального образования «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  региональной составляющей «Старшее поколение» национального проекта «Демография».</w:t>
      </w:r>
    </w:p>
    <w:p w:rsidR="00804CAE" w:rsidRPr="00FA56C7" w:rsidRDefault="00804CAE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625"/>
        <w:gridCol w:w="6946"/>
      </w:tblGrid>
      <w:tr w:rsidR="00804CAE" w:rsidRPr="00FA56C7" w:rsidTr="007B53D2">
        <w:tc>
          <w:tcPr>
            <w:tcW w:w="636" w:type="dxa"/>
          </w:tcPr>
          <w:p w:rsidR="00804CAE" w:rsidRPr="00FA56C7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5" w:type="dxa"/>
          </w:tcPr>
          <w:p w:rsidR="00804CAE" w:rsidRPr="00FA56C7" w:rsidRDefault="00804CAE" w:rsidP="00804C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6946" w:type="dxa"/>
          </w:tcPr>
          <w:p w:rsidR="00804CAE" w:rsidRPr="00FA56C7" w:rsidRDefault="00804CAE" w:rsidP="00804CAE">
            <w:pPr>
              <w:spacing w:after="0" w:line="240" w:lineRule="auto"/>
              <w:ind w:left="-108" w:right="-108" w:firstLine="175"/>
              <w:jc w:val="center"/>
              <w:rPr>
                <w:rFonts w:ascii="Times New Roman" w:eastAsia="Times New Roman" w:hAnsi="Times New Roman" w:cs="Tahoma"/>
                <w:bCs/>
                <w:color w:val="FF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804CAE" w:rsidRPr="00FA56C7" w:rsidTr="007B53D2">
        <w:tc>
          <w:tcPr>
            <w:tcW w:w="10207" w:type="dxa"/>
            <w:gridSpan w:val="3"/>
          </w:tcPr>
          <w:p w:rsidR="00804CAE" w:rsidRPr="00FA56C7" w:rsidRDefault="00804CAE" w:rsidP="00804CAE">
            <w:pPr>
              <w:spacing w:after="0" w:line="240" w:lineRule="auto"/>
              <w:ind w:left="-108" w:right="-108" w:firstLine="175"/>
              <w:jc w:val="center"/>
              <w:rPr>
                <w:rFonts w:ascii="Times New Roman" w:eastAsia="Times New Roman" w:hAnsi="Times New Roman" w:cs="Tahoma"/>
                <w:bCs/>
                <w:color w:val="FF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качества жизни граждан старшего поколения и у</w:t>
            </w: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величение продолжительности жизни</w:t>
            </w:r>
          </w:p>
        </w:tc>
      </w:tr>
      <w:tr w:rsidR="00804CAE" w:rsidRPr="00FA56C7" w:rsidTr="007B53D2">
        <w:tc>
          <w:tcPr>
            <w:tcW w:w="636" w:type="dxa"/>
          </w:tcPr>
          <w:p w:rsidR="00804CAE" w:rsidRPr="00FA56C7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5" w:type="dxa"/>
          </w:tcPr>
          <w:p w:rsidR="00804CAE" w:rsidRPr="00F22C6E" w:rsidRDefault="00804CAE" w:rsidP="00804C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Информирование населения о предоставляемых услугах: сайт учреждения, социальные сети, СМИ</w:t>
            </w:r>
          </w:p>
        </w:tc>
        <w:tc>
          <w:tcPr>
            <w:tcW w:w="6946" w:type="dxa"/>
          </w:tcPr>
          <w:p w:rsidR="00804CAE" w:rsidRPr="00F22C6E" w:rsidRDefault="00F22C6E" w:rsidP="00F22C6E">
            <w:pPr>
              <w:spacing w:after="0" w:line="240" w:lineRule="auto"/>
              <w:ind w:right="181" w:firstLine="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информация об оказываемых услугах еженедельно размещается в социальных сетях учрежден</w:t>
            </w:r>
            <w:r w:rsidR="00B06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ия. Распространены буклеты – 150</w:t>
            </w:r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F22C6E" w:rsidRPr="00FA56C7" w:rsidTr="007B53D2">
        <w:tc>
          <w:tcPr>
            <w:tcW w:w="636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25" w:type="dxa"/>
          </w:tcPr>
          <w:p w:rsidR="00F22C6E" w:rsidRPr="00F22C6E" w:rsidRDefault="00F22C6E" w:rsidP="00F22C6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и проведение занятий по программе социально-средовой адаптации граждан пожилого возраста и инвалидов</w:t>
            </w:r>
          </w:p>
        </w:tc>
        <w:tc>
          <w:tcPr>
            <w:tcW w:w="6946" w:type="dxa"/>
          </w:tcPr>
          <w:p w:rsidR="00F22C6E" w:rsidRPr="00F22C6E" w:rsidRDefault="00B061A4" w:rsidP="00B061A4">
            <w:pPr>
              <w:spacing w:line="240" w:lineRule="auto"/>
              <w:ind w:left="37" w:firstLine="138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06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Занятия по социально-средовой адаптации граждан пожилого возраста и инвалидов проводятся в отделениях социально-реабилитационного обслуживания со стационаром и без стационара. За 3 кв. 2024 года по данной программе проведены занятия в Отделении социально-реабилитационного обслуживания со стационаром с 85 гражданами (среди них 35 жителей </w:t>
            </w:r>
            <w:proofErr w:type="spellStart"/>
            <w:r w:rsidRPr="00B06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B06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района) и в Отделении социально-реабилитационного обслуживания без стационара с 202 гражданами (в </w:t>
            </w:r>
            <w:proofErr w:type="spellStart"/>
            <w:r w:rsidRPr="00B06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B06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с 64 жителями </w:t>
            </w:r>
            <w:proofErr w:type="spellStart"/>
            <w:r w:rsidRPr="00B06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B06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района).</w:t>
            </w:r>
          </w:p>
        </w:tc>
      </w:tr>
      <w:tr w:rsidR="00F22C6E" w:rsidRPr="00FA56C7" w:rsidTr="007B53D2">
        <w:tc>
          <w:tcPr>
            <w:tcW w:w="636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25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и методическое сопровождение клуба «Скандинавской ходьбы», клубов по интересам.</w:t>
            </w:r>
          </w:p>
        </w:tc>
        <w:tc>
          <w:tcPr>
            <w:tcW w:w="6946" w:type="dxa"/>
          </w:tcPr>
          <w:p w:rsidR="00B061A4" w:rsidRPr="00B061A4" w:rsidRDefault="00B061A4" w:rsidP="00B061A4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gramStart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человек  «</w:t>
            </w:r>
            <w:proofErr w:type="gramEnd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серебряного» возраста г. Можги в течении квартала по вторникам и четвергам посещали кружки  «Здоровье» в рамках программы активное долголетие (</w:t>
            </w:r>
            <w:proofErr w:type="spellStart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, йога) . </w:t>
            </w:r>
          </w:p>
          <w:p w:rsidR="00B061A4" w:rsidRPr="00B061A4" w:rsidRDefault="00B061A4" w:rsidP="00B061A4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При получении услуг в форме стационара и полустационара 66 получателей услуг (из них 24 жителей </w:t>
            </w:r>
            <w:proofErr w:type="spellStart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района) обучились навыкам и технике скандинавской ходьбы.</w:t>
            </w:r>
          </w:p>
          <w:p w:rsidR="00B061A4" w:rsidRPr="00B061A4" w:rsidRDefault="00B061A4" w:rsidP="00B061A4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Популярностью пользуется клуб «Социальный туризм», где активные граждане «серебряного возраста» города и района имеют возможность посетить интересные места республики: за </w:t>
            </w:r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 кв. 2024 г осуществлено 5 экскурсий с охватом 65 </w:t>
            </w:r>
            <w:proofErr w:type="gramStart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чел.( из</w:t>
            </w:r>
            <w:proofErr w:type="gramEnd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них  29 жителей </w:t>
            </w:r>
            <w:proofErr w:type="spellStart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района). Поездки осуществляются в музеи «Набат памяти» и на городскую выставку «Весенний калейдоскоп», «Озорной фестиваль», Историко-краеведческий музей, храм с. Перевозное </w:t>
            </w:r>
            <w:proofErr w:type="spellStart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 УР.</w:t>
            </w:r>
          </w:p>
          <w:p w:rsidR="00B061A4" w:rsidRPr="00B061A4" w:rsidRDefault="00B061A4" w:rsidP="00B061A4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Продолжает свою работу клуб «Мастерицы», где занимаются творчеством 7 жительниц города. На кружке «Чудеса из бумаги» 5 инвалидов города занимаются изготовлением различных поделок, участвуют в региональных творческих фестивалях.</w:t>
            </w:r>
          </w:p>
          <w:p w:rsidR="00B061A4" w:rsidRPr="00B061A4" w:rsidRDefault="00B061A4" w:rsidP="00B061A4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Компьютерной грамотности обучились за 9 месяцев 2024 года 17 человек, из них 2 жителя </w:t>
            </w:r>
            <w:proofErr w:type="spellStart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района.</w:t>
            </w:r>
          </w:p>
          <w:p w:rsidR="00B061A4" w:rsidRPr="00B061A4" w:rsidRDefault="00B061A4" w:rsidP="00B061A4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В рамках Университета третьего возраста в социально-реабилитационных отделениях продолжают работу Школы. В «Школе безопасности» пожилые граждане учатся финансовой грамотности, мерам безопасности от мошенничества. Еженедельно с ними организуются лекции и беседы о способах мошенничества.  В «Школе здоровья» занимаются гимнастикой, адаптивной физкультурой, занимаются групповыми занятиями </w:t>
            </w:r>
            <w:proofErr w:type="gramStart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с  психологом</w:t>
            </w:r>
            <w:proofErr w:type="gramEnd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(обучены 145 человек, из них 35 жителей </w:t>
            </w:r>
            <w:proofErr w:type="spellStart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района».</w:t>
            </w:r>
          </w:p>
          <w:p w:rsidR="00F22C6E" w:rsidRPr="00F22C6E" w:rsidRDefault="00F22C6E" w:rsidP="00F22C6E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</w:p>
          <w:p w:rsidR="00F22C6E" w:rsidRPr="00FA56C7" w:rsidRDefault="00F22C6E" w:rsidP="00F22C6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2C6E" w:rsidRPr="00E810C6" w:rsidTr="007B53D2">
        <w:tc>
          <w:tcPr>
            <w:tcW w:w="636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625" w:type="dxa"/>
          </w:tcPr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Внедрение в работу </w:t>
            </w:r>
            <w:proofErr w:type="spellStart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технологий: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Школа родственного ухода,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Служба сиделок (СДУ)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proofErr w:type="gramStart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 «</w:t>
            </w:r>
            <w:proofErr w:type="gramEnd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Приемная семья»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Школа опекуна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061A4" w:rsidRPr="00B061A4" w:rsidRDefault="00B061A4" w:rsidP="00B061A4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 использовались услуги:</w:t>
            </w:r>
          </w:p>
          <w:p w:rsidR="00B061A4" w:rsidRPr="00B061A4" w:rsidRDefault="00B061A4" w:rsidP="00B061A4">
            <w:pPr>
              <w:spacing w:after="0" w:line="240" w:lineRule="auto"/>
              <w:ind w:left="-105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3 кв. 2024 года прошли обучение в «Школе родственного ухода» - 17 чел., ухаживающие за тяжелобольными родственниками. Все они являются жителями г. Можги.</w:t>
            </w:r>
          </w:p>
          <w:p w:rsidR="00B061A4" w:rsidRPr="00B061A4" w:rsidRDefault="00B061A4" w:rsidP="00B061A4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Службой сиделок в рамках социального обслуживания пользуются 81 человек, из них 25 жителей района. По системе долговременного ухода (СДУ) в городе Можге и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 за 9 месяцев в 2024 году приняты 70 граждан г. Можги и 66 граждан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признанных нуждающимися в услугах по уходу. Трудоустроено 134 «помощника по уходу», оказывающими уход </w:t>
            </w:r>
            <w:proofErr w:type="gram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 тяжелобольными</w:t>
            </w:r>
            <w:proofErr w:type="gram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престарелыми родственниками (68 чел.- г. Можга,  64 чел. –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район). Все они прошли обучение основам ухода.</w:t>
            </w:r>
          </w:p>
          <w:p w:rsidR="00B061A4" w:rsidRPr="00B061A4" w:rsidRDefault="00B061A4" w:rsidP="00B061A4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Оснащены новыми современными техническими средствами реабилитации «Пункт проката ТСР», что позволяет нуждающимся гражданам комфортнее проходить средовую реабилитацию. С 15 гражданами, находящимися в системе долговременного ухода, заключены договора о предоставлении 31 единиц ТСР.</w:t>
            </w:r>
          </w:p>
          <w:p w:rsidR="00B061A4" w:rsidRPr="00B061A4" w:rsidRDefault="00B061A4" w:rsidP="00B061A4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31149068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 «Приемная семья» является неоспоримой поддержкой не только тем, за кем осуществляется уход, но и гражданам, взявшим пожилого человека в семью.  На данное направление заявленных семей в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г.Можге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нет, в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 с начала года 1 семья (ст. Керамик) участвует в данной программе, работа по информированию населения проводится. </w:t>
            </w:r>
          </w:p>
          <w:bookmarkEnd w:id="1"/>
          <w:p w:rsidR="00F22C6E" w:rsidRPr="00FA56C7" w:rsidRDefault="00B061A4" w:rsidP="00B061A4">
            <w:pPr>
              <w:spacing w:line="240" w:lineRule="auto"/>
              <w:ind w:left="30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«Школе опекуна», по осуществлению подготовки граждан, выразивших желание стать опекунами или попечителями совершеннолетних недееспособных или не полностью дееспособных  граждан в 3 кв. 2024 г. обратившихся за обучением жителей города и района не было.</w:t>
            </w:r>
          </w:p>
        </w:tc>
      </w:tr>
      <w:tr w:rsidR="00F22C6E" w:rsidRPr="00E810C6" w:rsidTr="007B53D2">
        <w:tc>
          <w:tcPr>
            <w:tcW w:w="636" w:type="dxa"/>
          </w:tcPr>
          <w:p w:rsidR="00F22C6E" w:rsidRPr="00E810C6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2625" w:type="dxa"/>
          </w:tcPr>
          <w:p w:rsidR="00F22C6E" w:rsidRPr="00E810C6" w:rsidRDefault="00F22C6E" w:rsidP="00F22C6E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работы мобильной бригады</w:t>
            </w:r>
          </w:p>
        </w:tc>
        <w:tc>
          <w:tcPr>
            <w:tcW w:w="6946" w:type="dxa"/>
          </w:tcPr>
          <w:p w:rsidR="00B061A4" w:rsidRPr="00B061A4" w:rsidRDefault="00B061A4" w:rsidP="00B061A4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Мобильная бригада осуществляла выезды к жителям </w:t>
            </w:r>
            <w:proofErr w:type="spellStart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061A4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 преимущественно по оказанию социально-бытовой помощи гражданам, нуждающимся в хозяйственных услугах. За 1 полугодие 2024 года осуществлено 6 выездов. Оказаны услуги 101 гражданам. В 3 кв.2024 г. выездов не было.</w:t>
            </w:r>
          </w:p>
          <w:p w:rsidR="00B061A4" w:rsidRPr="00B061A4" w:rsidRDefault="00B061A4" w:rsidP="00B061A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«Мобильной бригадой» по доставке лиц старше 65 лет, проживающих в сельской местности, в медицинские организации </w:t>
            </w:r>
            <w:proofErr w:type="gram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 9</w:t>
            </w:r>
            <w:proofErr w:type="gram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месяцев 2024 года  осуществлен 91 выезд, количество граждан, получивших медицинскую помощь на дому -  911 чел.,224 чел. доставлены в медучреждение. </w:t>
            </w:r>
          </w:p>
          <w:p w:rsidR="00B061A4" w:rsidRPr="00B061A4" w:rsidRDefault="00B061A4" w:rsidP="00B061A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Стал осуществляться подвоз на безвозмездной основе сельских жителей в отделение социально-реабилитационного обслуживания граждан пожилого возраста и инвалидов без стационара, за 9 месяцев 2024 г -  110 поездок с охватом 56 человек </w:t>
            </w:r>
            <w:proofErr w:type="gram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д.</w:t>
            </w:r>
            <w:proofErr w:type="gram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Кватчи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М.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Сюга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                      д. Ст. Березняк, д.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Водзи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с. Можга, д.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Ломеслуд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 Каждый из получателей социальных услуг в течении двух недель получает социально-медицинские услуги (консультация врача терапевта, инъекции, массаж) и занимается в тренажерном зале, ежедневные занятия адаптивной физкультурой, гимнастикой.</w:t>
            </w:r>
          </w:p>
          <w:p w:rsidR="00F22C6E" w:rsidRPr="00FA56C7" w:rsidRDefault="00F22C6E" w:rsidP="00B061A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2C6E" w:rsidRPr="00E810C6" w:rsidTr="007B53D2">
        <w:tc>
          <w:tcPr>
            <w:tcW w:w="636" w:type="dxa"/>
          </w:tcPr>
          <w:p w:rsidR="00F22C6E" w:rsidRPr="00E810C6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625" w:type="dxa"/>
          </w:tcPr>
          <w:p w:rsidR="00F22C6E" w:rsidRPr="00E810C6" w:rsidRDefault="00F22C6E" w:rsidP="00F22C6E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«Здоровый образ жизни – залог долголетия»</w:t>
            </w:r>
          </w:p>
        </w:tc>
        <w:tc>
          <w:tcPr>
            <w:tcW w:w="6946" w:type="dxa"/>
          </w:tcPr>
          <w:p w:rsidR="00B061A4" w:rsidRPr="00B061A4" w:rsidRDefault="00F22C6E" w:rsidP="00B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061A4"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Специалистами учреждения проводится работа по реализации плана мероприятий по улучшению положения и качества жизни пожилых людей. Оздоровительные мероприятия, направленные на формирование и </w:t>
            </w:r>
            <w:proofErr w:type="gramStart"/>
            <w:r w:rsidR="00B061A4"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поддержание активного образа жизни граждан пожилого возраста</w:t>
            </w:r>
            <w:proofErr w:type="gramEnd"/>
            <w:r w:rsidR="00B061A4"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проводятся в клубе по интересам: «Здоровье». Граждане пожилого возраста занимаются скандинавской ходьбой, ЛФК.</w:t>
            </w:r>
          </w:p>
          <w:p w:rsidR="00B061A4" w:rsidRPr="00B061A4" w:rsidRDefault="00B061A4" w:rsidP="00B061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27 сентября 2024 г. состоялся </w:t>
            </w:r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фестиваль скандинавской ходьбы «Здоровое долголетие», где приняли участие более 75 человек (среди них 10 жителей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района). Мероприятие еще раз подтвердило высокую популярность данного вида спорта среди пожилых граждан нашего города и района.</w:t>
            </w:r>
          </w:p>
          <w:p w:rsidR="00B061A4" w:rsidRPr="00B061A4" w:rsidRDefault="00B061A4" w:rsidP="00B061A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ab/>
            </w:r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течении квартала в заездах отделений социально-реабилитационного обслуживания без стационара и со стационаром с обслуживаемыми гражданами терапевтом учреждения проводились </w:t>
            </w:r>
            <w:proofErr w:type="gram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  о</w:t>
            </w:r>
            <w:proofErr w:type="gram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ЗОЖ, осуществлено 11 бесед, охват – 287 человек (35 чел. –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район).</w:t>
            </w:r>
          </w:p>
          <w:p w:rsidR="00F22C6E" w:rsidRPr="00FA56C7" w:rsidRDefault="00B061A4" w:rsidP="00B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Услугами по доставке лекарств на дом воспользовались 139 жителей г. Можги, в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19 одиноких пожилых граждан и 80 жителей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района, в том числе 15 одиноких пожилых граждан.</w:t>
            </w:r>
          </w:p>
        </w:tc>
      </w:tr>
    </w:tbl>
    <w:p w:rsidR="005E648E" w:rsidRPr="00E810C6" w:rsidRDefault="005E648E" w:rsidP="00603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648E" w:rsidRPr="00FA56C7" w:rsidRDefault="00314288" w:rsidP="0031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 Республиканского ЦЗН «ЦЗН город</w:t>
      </w:r>
      <w:r w:rsid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0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Можги и </w:t>
      </w:r>
      <w:proofErr w:type="spellStart"/>
      <w:r w:rsidR="00B06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B0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3 </w:t>
      </w:r>
      <w:r w:rsidR="0000791E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</w:t>
      </w:r>
      <w:r w:rsidR="00697239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1EB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7239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</w:t>
      </w:r>
      <w:r w:rsidR="001875A4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следующие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по достижению муниципальных показателей муниципального образования «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  региональной составляющей «Старшее поколение» национального проекта «Демография»:</w:t>
      </w:r>
    </w:p>
    <w:p w:rsidR="00314288" w:rsidRPr="00FA56C7" w:rsidRDefault="00314288" w:rsidP="00314288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675"/>
        <w:gridCol w:w="284"/>
        <w:gridCol w:w="3260"/>
        <w:gridCol w:w="142"/>
        <w:gridCol w:w="5953"/>
      </w:tblGrid>
      <w:tr w:rsidR="00314288" w:rsidRPr="00FA56C7" w:rsidTr="00DD6290">
        <w:tc>
          <w:tcPr>
            <w:tcW w:w="959" w:type="dxa"/>
            <w:gridSpan w:val="2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/>
                <w:bCs/>
                <w:color w:val="171717"/>
                <w:lang w:val="ru-RU"/>
              </w:rPr>
              <w:t>№ п/п</w:t>
            </w:r>
          </w:p>
        </w:tc>
        <w:tc>
          <w:tcPr>
            <w:tcW w:w="3402" w:type="dxa"/>
            <w:gridSpan w:val="2"/>
          </w:tcPr>
          <w:p w:rsidR="00314288" w:rsidRPr="00FA56C7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FA56C7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FA56C7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FA56C7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5953" w:type="dxa"/>
          </w:tcPr>
          <w:p w:rsidR="00314288" w:rsidRPr="00FA56C7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314288" w:rsidRPr="00FA56C7" w:rsidTr="00DD6290">
        <w:tc>
          <w:tcPr>
            <w:tcW w:w="10314" w:type="dxa"/>
            <w:gridSpan w:val="5"/>
          </w:tcPr>
          <w:p w:rsidR="00314288" w:rsidRPr="00FA56C7" w:rsidRDefault="00314288" w:rsidP="00A85F47">
            <w:pPr>
              <w:pStyle w:val="Standard"/>
              <w:jc w:val="center"/>
              <w:rPr>
                <w:b/>
                <w:lang w:val="ru-RU"/>
              </w:rPr>
            </w:pPr>
            <w:r w:rsidRPr="00FA56C7">
              <w:rPr>
                <w:b/>
                <w:shd w:val="clear" w:color="auto" w:fill="FFFFFF"/>
                <w:lang w:val="ru-RU"/>
              </w:rPr>
              <w:t>Повышение качества жизни граждан старшего поколения и у</w:t>
            </w:r>
            <w:r w:rsidRPr="00FA56C7">
              <w:rPr>
                <w:b/>
                <w:lang w:val="ru-RU"/>
              </w:rPr>
              <w:t xml:space="preserve">величение </w:t>
            </w:r>
          </w:p>
          <w:p w:rsidR="00314288" w:rsidRPr="00FA56C7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b/>
                <w:lang w:val="ru-RU"/>
              </w:rPr>
              <w:t>продолжительности жизни</w:t>
            </w:r>
          </w:p>
        </w:tc>
      </w:tr>
      <w:tr w:rsidR="00314288" w:rsidRPr="00FA56C7" w:rsidTr="00DD6290">
        <w:tc>
          <w:tcPr>
            <w:tcW w:w="675" w:type="dxa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Cs/>
                <w:color w:val="171717"/>
                <w:lang w:val="ru-RU"/>
              </w:rPr>
              <w:t>1</w:t>
            </w:r>
          </w:p>
        </w:tc>
        <w:tc>
          <w:tcPr>
            <w:tcW w:w="3544" w:type="dxa"/>
            <w:gridSpan w:val="2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color w:val="171717"/>
                <w:lang w:val="ru-RU"/>
              </w:rPr>
              <w:t xml:space="preserve">Информирование населения о </w:t>
            </w:r>
            <w:r w:rsidRPr="00FA56C7">
              <w:rPr>
                <w:color w:val="171717"/>
                <w:lang w:val="ru-RU"/>
              </w:rPr>
              <w:lastRenderedPageBreak/>
              <w:t xml:space="preserve">программе обучения граждан </w:t>
            </w:r>
            <w:proofErr w:type="spellStart"/>
            <w:r w:rsidRPr="00FA56C7">
              <w:rPr>
                <w:color w:val="171717"/>
                <w:lang w:val="ru-RU"/>
              </w:rPr>
              <w:t>предпенсионного</w:t>
            </w:r>
            <w:proofErr w:type="spellEnd"/>
            <w:r w:rsidRPr="00FA56C7">
              <w:rPr>
                <w:color w:val="171717"/>
                <w:lang w:val="ru-RU"/>
              </w:rPr>
              <w:t xml:space="preserve"> возраста</w:t>
            </w:r>
          </w:p>
        </w:tc>
        <w:tc>
          <w:tcPr>
            <w:tcW w:w="6095" w:type="dxa"/>
            <w:gridSpan w:val="2"/>
          </w:tcPr>
          <w:p w:rsidR="00B061A4" w:rsidRPr="00B061A4" w:rsidRDefault="00B061A4" w:rsidP="00B061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проведено 2 заседания «Клуба деловых </w:t>
            </w:r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 с работодателями» с </w:t>
            </w:r>
            <w:proofErr w:type="gramStart"/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 и</w:t>
            </w:r>
            <w:proofErr w:type="gramEnd"/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представителями кадровой службы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для 20 организаций всех форм собственности.</w:t>
            </w:r>
          </w:p>
          <w:p w:rsidR="00314288" w:rsidRPr="00FA56C7" w:rsidRDefault="00B061A4" w:rsidP="00B061A4">
            <w:pPr>
              <w:jc w:val="both"/>
              <w:rPr>
                <w:rFonts w:cs="Times New Roman"/>
                <w:b/>
                <w:bCs/>
                <w:color w:val="171717"/>
                <w:u w:val="single"/>
              </w:rPr>
            </w:pPr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возможностях подбора необходимых кадров в других субъектах Российской Федерации, в том числе через портал "Работа в России" опубликована на </w:t>
            </w:r>
            <w:r w:rsidRPr="00B061A4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интерактивном портале Государственной службы занятости Удмуртской Республики, на странице ВК «ЦЗН </w:t>
            </w:r>
            <w:proofErr w:type="spellStart"/>
            <w:r w:rsidRPr="00B061A4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г.Можги</w:t>
            </w:r>
            <w:proofErr w:type="spellEnd"/>
            <w:r w:rsidRPr="00B061A4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61A4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061A4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района», на стендах и электронном табло  в Центре занятости населения г. Можги и </w:t>
            </w:r>
            <w:proofErr w:type="spellStart"/>
            <w:r w:rsidRPr="00B061A4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B061A4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района,</w:t>
            </w:r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филиале "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АУ "МФЦ УР", на официальном сайте МО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4288" w:rsidRPr="00E810C6" w:rsidTr="00DD6290">
        <w:tc>
          <w:tcPr>
            <w:tcW w:w="675" w:type="dxa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Cs/>
                <w:color w:val="171717"/>
                <w:lang w:val="ru-RU"/>
              </w:rPr>
              <w:lastRenderedPageBreak/>
              <w:t>2</w:t>
            </w:r>
          </w:p>
        </w:tc>
        <w:tc>
          <w:tcPr>
            <w:tcW w:w="3544" w:type="dxa"/>
            <w:gridSpan w:val="2"/>
          </w:tcPr>
          <w:p w:rsidR="00314288" w:rsidRPr="00FA56C7" w:rsidRDefault="00314288" w:rsidP="00A85F47">
            <w:pPr>
              <w:pStyle w:val="Standard"/>
              <w:jc w:val="both"/>
              <w:rPr>
                <w:color w:val="171717"/>
                <w:lang w:val="ru-RU"/>
              </w:rPr>
            </w:pPr>
            <w:r w:rsidRPr="00FA56C7">
              <w:rPr>
                <w:color w:val="171717"/>
                <w:lang w:val="ru-RU"/>
              </w:rPr>
              <w:t xml:space="preserve">Организация специализированных ярмарок вакансий для граждан </w:t>
            </w:r>
            <w:proofErr w:type="spellStart"/>
            <w:r w:rsidRPr="00FA56C7">
              <w:rPr>
                <w:color w:val="171717"/>
                <w:lang w:val="ru-RU"/>
              </w:rPr>
              <w:t>предпенсионного</w:t>
            </w:r>
            <w:proofErr w:type="spellEnd"/>
            <w:r w:rsidRPr="00FA56C7">
              <w:rPr>
                <w:color w:val="171717"/>
                <w:lang w:val="ru-RU"/>
              </w:rPr>
              <w:t xml:space="preserve"> и пенсионного возраста</w:t>
            </w:r>
          </w:p>
        </w:tc>
        <w:tc>
          <w:tcPr>
            <w:tcW w:w="6095" w:type="dxa"/>
            <w:gridSpan w:val="2"/>
          </w:tcPr>
          <w:p w:rsidR="00314288" w:rsidRPr="00FA56C7" w:rsidRDefault="00B061A4" w:rsidP="00B061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За три квартала 2024 года проведено 19 мини- ярмарок </w:t>
            </w:r>
            <w:r w:rsidRPr="00B061A4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вакансий рабочих мест, в которых  приняли участие 47  гражданина  </w:t>
            </w:r>
            <w:proofErr w:type="spellStart"/>
            <w:r w:rsidRPr="00B061A4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B061A4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 и   пенсионного возраста.</w:t>
            </w:r>
          </w:p>
        </w:tc>
      </w:tr>
    </w:tbl>
    <w:p w:rsidR="00314288" w:rsidRPr="00E810C6" w:rsidRDefault="00314288" w:rsidP="004B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6A16" w:rsidRPr="007B53D2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7B53D2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Проект: «У</w:t>
      </w:r>
      <w:r w:rsidR="001F656A" w:rsidRPr="007B53D2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крепление общественного здоровья</w:t>
      </w:r>
      <w:r w:rsidRPr="007B53D2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»</w:t>
      </w:r>
    </w:p>
    <w:p w:rsidR="006A1E84" w:rsidRPr="00E810C6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БУЗ УР "</w:t>
      </w:r>
      <w:proofErr w:type="spellStart"/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Можгинская</w:t>
      </w:r>
      <w:proofErr w:type="spellEnd"/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</w:t>
      </w:r>
      <w:r w:rsidR="00640F82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ольница МЗ УР" в</w:t>
      </w:r>
      <w:r w:rsidR="00A65971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3</w:t>
      </w:r>
      <w:r w:rsidR="001F656A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640F82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квартале</w:t>
      </w:r>
      <w:r w:rsidR="00E0653B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FA56C7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2024</w:t>
      </w:r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года </w:t>
      </w:r>
      <w:r w:rsidR="00602A25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проведены следующие мероприятия</w:t>
      </w:r>
      <w:r w:rsidR="00602A25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 направленные на улучшение демографической ситуации</w:t>
      </w:r>
      <w:r w:rsidR="00E0653B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в </w:t>
      </w:r>
      <w:proofErr w:type="spellStart"/>
      <w:r w:rsidR="00E0653B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Можгинском</w:t>
      </w:r>
      <w:proofErr w:type="spellEnd"/>
      <w:r w:rsidR="00E0653B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районе</w:t>
      </w:r>
      <w:r w:rsidR="00602A25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</w:t>
      </w:r>
      <w:r w:rsidR="00602A25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в рамках реализации национального</w:t>
      </w:r>
      <w:r w:rsidR="00E0653B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проекта «Демография»:</w:t>
      </w:r>
    </w:p>
    <w:p w:rsidR="00602A25" w:rsidRPr="00E810C6" w:rsidRDefault="00602A25" w:rsidP="006A1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4111"/>
      </w:tblGrid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привлечение населения к прохождению диспансеризации, информирование о ее целях и задачах.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971" w:rsidRPr="00A65971" w:rsidRDefault="00A65971" w:rsidP="00A6597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Подлежало – 1371 чел.</w:t>
            </w:r>
          </w:p>
          <w:p w:rsidR="00A65971" w:rsidRPr="00A65971" w:rsidRDefault="00A65971" w:rsidP="00A6597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Осмотр. – 1371 чел.</w:t>
            </w:r>
          </w:p>
          <w:p w:rsidR="00FA56C7" w:rsidRDefault="00A65971" w:rsidP="00A65971">
            <w:pPr>
              <w:spacing w:after="0" w:line="240" w:lineRule="auto"/>
              <w:jc w:val="both"/>
            </w:pPr>
            <w:r w:rsidRP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Охват –  100 %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реестра и работа с населением,  не проходившим медицинское обследование  в течение длительного периода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A65971" w:rsidP="00FA56C7">
            <w:pPr>
              <w:spacing w:after="0" w:line="240" w:lineRule="auto"/>
              <w:jc w:val="both"/>
            </w:pPr>
            <w:r w:rsidRP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проходили обследование  в течение длительного времени более 2 лет  452 человек - 3,1 %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ВИЧ-инфекции)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99" w:rsidRPr="00097499" w:rsidRDefault="00097499" w:rsidP="00097499">
            <w:pPr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Выявлено:</w:t>
            </w:r>
          </w:p>
          <w:p w:rsidR="00097499" w:rsidRPr="00097499" w:rsidRDefault="00A65971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СД – 12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Tbc</w:t>
            </w: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0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ВИЧ – 0</w:t>
            </w:r>
          </w:p>
          <w:p w:rsidR="00FA56C7" w:rsidRDefault="00A65971" w:rsidP="000974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ЗППП – 9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Состоят на учете </w:t>
            </w:r>
            <w:r w:rsid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беременны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высокой группы риска;  обследование все прошли 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Состоит </w:t>
            </w:r>
            <w:r w:rsidR="0009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учете по поводу бесп</w:t>
            </w:r>
            <w:r w:rsidR="00A6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лодия 32 пары; получили квоту –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</w:t>
            </w:r>
            <w:r w:rsidR="00A6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передвижного медицинского комплекса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выездов- 5</w:t>
            </w:r>
          </w:p>
          <w:p w:rsidR="00FA56C7" w:rsidRDefault="00A65971" w:rsidP="000974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Осмотрено 80</w:t>
            </w:r>
            <w:r w:rsidR="00097499"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человек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выездов - </w:t>
            </w:r>
            <w:r w:rsid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86</w:t>
            </w:r>
          </w:p>
          <w:p w:rsidR="00FA56C7" w:rsidRPr="00097499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в СМИ.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Школы здоровья: «Школа здоровья для пациентов с сахарным диабетом», «Школа здоровья для пациентов с артериальной гипертонией», «Школа здоровья для пациентов с бронхиальной астмой»,  «Школа здоровья для беременных».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Охвачено: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СД </w:t>
            </w:r>
            <w:proofErr w:type="gramStart"/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  «</w:t>
            </w:r>
            <w:proofErr w:type="gramEnd"/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школа здоровья» – 31 чел.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АД </w:t>
            </w:r>
            <w:proofErr w:type="gramStart"/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  «</w:t>
            </w:r>
            <w:proofErr w:type="gramEnd"/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школа здоровья» – 3 чел.</w:t>
            </w:r>
          </w:p>
          <w:p w:rsidR="00FA56C7" w:rsidRDefault="00097499" w:rsidP="00097499">
            <w:pPr>
              <w:spacing w:after="0" w:line="240" w:lineRule="auto"/>
              <w:jc w:val="both"/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«Школа беременных» - 18 чел.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предабортного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консультирования в женской консультаций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кабинет медико-социальной помощи ж/к обратились </w:t>
            </w:r>
            <w:r w:rsid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женщины с намерением прервать беременность.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информационных бесед с учащимися  образовательных организаций по вопросам сохранения репродуктивного здоровья, профилактики абортов и нежелательной беременности, эффективных методов контрацепции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выездах по диспансеризации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 детского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</w:t>
            </w:r>
            <w:r w:rsidR="0009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дросткового гинеколога, охват – </w:t>
            </w:r>
            <w:r w:rsid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09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девочки </w:t>
            </w:r>
          </w:p>
          <w:p w:rsidR="00FA56C7" w:rsidRDefault="00FA56C7" w:rsidP="00FA56C7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Ведение "периода ожидания" для женщин, решивших прервать беременность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Прерван</w:t>
            </w:r>
            <w:r w:rsid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беременность, отказ от прерывания беременности - </w:t>
            </w:r>
            <w:r w:rsid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женской консультации ежедневно в «Он-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о профилактике абортов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женской консультации ежедневно в «Он-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A56C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ind w:left="119" w:hanging="11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Психологическое консультирование женщин по вопросам незапланированной беременности в ЖК – </w:t>
            </w:r>
            <w:r w:rsid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женщин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pStyle w:val="aa"/>
              <w:spacing w:before="0" w:after="0"/>
              <w:ind w:left="57"/>
            </w:pPr>
            <w:r w:rsidRPr="00FA56C7"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FA56C7"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Женщин с тяжелой соматической патологией – </w:t>
            </w:r>
            <w:r w:rsid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эффективными методами контрацепции –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pStyle w:val="aa"/>
              <w:spacing w:before="0" w:after="0"/>
              <w:ind w:left="57"/>
            </w:pPr>
            <w:r w:rsidRPr="00FA56C7">
              <w:t xml:space="preserve">Беседа с беременными о методах контрацепции после родов </w:t>
            </w:r>
            <w:r w:rsidRPr="00FA56C7"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каждой женщиной в родильном доме после родов и в женской консультации проводят беседу о </w:t>
            </w:r>
            <w:r>
              <w:rPr>
                <w:rFonts w:ascii="Times New Roman" w:hAnsi="Times New Roman" w:cs="Times New Roman"/>
                <w:color w:val="000000"/>
              </w:rPr>
              <w:t>контрацепции после родов</w:t>
            </w:r>
            <w:r>
              <w:rPr>
                <w:color w:val="000000"/>
              </w:rPr>
              <w:t xml:space="preserve"> </w:t>
            </w:r>
          </w:p>
        </w:tc>
      </w:tr>
    </w:tbl>
    <w:p w:rsidR="009B5419" w:rsidRPr="00E810C6" w:rsidRDefault="009B5419" w:rsidP="00D6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15A" w:rsidRPr="00FA56C7" w:rsidRDefault="0039630A" w:rsidP="0051015A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971">
        <w:rPr>
          <w:rFonts w:ascii="Times New Roman" w:hAnsi="Times New Roman" w:cs="Times New Roman"/>
          <w:b/>
          <w:sz w:val="24"/>
          <w:szCs w:val="24"/>
          <w:u w:val="single"/>
        </w:rPr>
        <w:t>Проект «Спорт-норма жизни</w:t>
      </w:r>
      <w:r w:rsidR="006D6A16" w:rsidRPr="00A6597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A1E84" w:rsidRPr="00FA56C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524F1" w:rsidRPr="00E810C6" w:rsidRDefault="00F524F1" w:rsidP="00457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укрепления общественного здоровья в </w:t>
      </w:r>
      <w:proofErr w:type="spellStart"/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025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действую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45786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программы: «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формирование здоровог</w:t>
      </w:r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образа жизни населения в муниципальном образовании «Муниципальный округ </w:t>
      </w:r>
      <w:proofErr w:type="spellStart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2022-2027 годы, «Укрепление общественного здоровья в муниципальном образовании «Муниципальный округ </w:t>
      </w:r>
      <w:proofErr w:type="spellStart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2023-2027 годы. </w:t>
      </w:r>
    </w:p>
    <w:p w:rsidR="00F524F1" w:rsidRPr="00E810C6" w:rsidRDefault="00D859EA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спортивно-массовой и агитационно-пропагандистской работы проводится спартакиада среди образовательных учреждений </w:t>
      </w:r>
      <w:proofErr w:type="spellStart"/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18 видам спорта.</w:t>
      </w:r>
    </w:p>
    <w:p w:rsidR="00D3485C" w:rsidRPr="00D8193B" w:rsidRDefault="00F524F1" w:rsidP="00D819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</w:t>
      </w:r>
      <w:r w:rsidR="00700D8F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сектором спорта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зимние и летние спортивные игры района с целью дальнейшего внедрения физической культуры и спорта в повседневный быт тружеников района; улучшения физкультурно-оздоровительной работы в трудовых коллективах, про</w:t>
      </w:r>
      <w:r w:rsidR="001E0F5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паганды здорового образа жизни,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культурного досуга сельских жителей; выявления сильнейших спортсменов для участия в Республиканских зимних и летних сельских </w:t>
      </w:r>
      <w:r w:rsidR="00D34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играх.</w:t>
      </w:r>
    </w:p>
    <w:p w:rsidR="00D8193B" w:rsidRPr="00D8193B" w:rsidRDefault="00D8193B" w:rsidP="00D819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19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 квартал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8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7 массовых мероприятий, приняло участие 959 человек. Организационная работа проводилась в соответствии с календарными районным и </w:t>
      </w:r>
      <w:r w:rsidRPr="00D81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республиканским планами работы. Наиболее популярными и массовыми видами спорта в районе являются легкая атлетика. </w:t>
      </w:r>
    </w:p>
    <w:p w:rsidR="00D8193B" w:rsidRPr="00D8193B" w:rsidRDefault="00D8193B" w:rsidP="00D8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июля по сентябрь 2024 года наиболее значимыми и массовыми мероприятиями стали:</w:t>
      </w:r>
    </w:p>
    <w:p w:rsidR="00D8193B" w:rsidRPr="00A65971" w:rsidRDefault="00D8193B" w:rsidP="00D8193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6926"/>
        <w:gridCol w:w="2005"/>
      </w:tblGrid>
      <w:tr w:rsidR="00D8193B" w:rsidRPr="00A65971" w:rsidTr="006F259F">
        <w:tc>
          <w:tcPr>
            <w:tcW w:w="567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6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2005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D8193B" w:rsidRPr="00A65971" w:rsidTr="006F259F">
        <w:tc>
          <w:tcPr>
            <w:tcW w:w="567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7-я летняя спартакиада пенсионеров 03.07.2024 г.</w:t>
            </w:r>
          </w:p>
        </w:tc>
        <w:tc>
          <w:tcPr>
            <w:tcW w:w="2005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человека</w:t>
            </w:r>
          </w:p>
        </w:tc>
      </w:tr>
      <w:tr w:rsidR="00D8193B" w:rsidRPr="00A65971" w:rsidTr="006F259F">
        <w:tc>
          <w:tcPr>
            <w:tcW w:w="567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6" w:type="dxa"/>
            <w:shd w:val="clear" w:color="auto" w:fill="auto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Спартакиада инвалидного спорта </w:t>
            </w:r>
            <w:proofErr w:type="spellStart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12.07.2024 г.</w:t>
            </w:r>
          </w:p>
        </w:tc>
        <w:tc>
          <w:tcPr>
            <w:tcW w:w="2005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человека</w:t>
            </w:r>
          </w:p>
        </w:tc>
      </w:tr>
      <w:tr w:rsidR="00D8193B" w:rsidRPr="00A65971" w:rsidTr="006F259F">
        <w:tc>
          <w:tcPr>
            <w:tcW w:w="567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6" w:type="dxa"/>
            <w:shd w:val="clear" w:color="auto" w:fill="auto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 10.08.2024 г.</w:t>
            </w:r>
          </w:p>
        </w:tc>
        <w:tc>
          <w:tcPr>
            <w:tcW w:w="2005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человек</w:t>
            </w:r>
          </w:p>
        </w:tc>
      </w:tr>
      <w:tr w:rsidR="00D8193B" w:rsidRPr="00A65971" w:rsidTr="006F259F">
        <w:tc>
          <w:tcPr>
            <w:tcW w:w="567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первенство </w:t>
            </w:r>
            <w:proofErr w:type="spellStart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городошному спорту на призы ОАО «</w:t>
            </w:r>
            <w:proofErr w:type="spellStart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Можгасыр</w:t>
            </w:r>
            <w:proofErr w:type="spellEnd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24.08.2024 г.</w:t>
            </w:r>
          </w:p>
        </w:tc>
        <w:tc>
          <w:tcPr>
            <w:tcW w:w="2005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человек</w:t>
            </w:r>
          </w:p>
        </w:tc>
      </w:tr>
      <w:tr w:rsidR="00D8193B" w:rsidRPr="00A65971" w:rsidTr="006F259F">
        <w:tc>
          <w:tcPr>
            <w:tcW w:w="567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6" w:type="dxa"/>
            <w:shd w:val="clear" w:color="auto" w:fill="auto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Легкоатлетический пробег на призы СПК «</w:t>
            </w:r>
            <w:proofErr w:type="spellStart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Югдон</w:t>
            </w:r>
            <w:proofErr w:type="spellEnd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07.09.2024 г.</w:t>
            </w:r>
          </w:p>
        </w:tc>
        <w:tc>
          <w:tcPr>
            <w:tcW w:w="2005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человек</w:t>
            </w:r>
          </w:p>
        </w:tc>
      </w:tr>
      <w:tr w:rsidR="00D8193B" w:rsidRPr="00A65971" w:rsidTr="006F259F">
        <w:tc>
          <w:tcPr>
            <w:tcW w:w="567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6" w:type="dxa"/>
            <w:shd w:val="clear" w:color="auto" w:fill="auto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осеннему легкоатлетическому кроссу в зачет спартакиады </w:t>
            </w:r>
            <w:proofErr w:type="spellStart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рамках Кросс нации 20.09.2024 г.</w:t>
            </w:r>
          </w:p>
        </w:tc>
        <w:tc>
          <w:tcPr>
            <w:tcW w:w="2005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человек</w:t>
            </w:r>
          </w:p>
        </w:tc>
      </w:tr>
      <w:tr w:rsidR="00D8193B" w:rsidRPr="00A65971" w:rsidTr="006F259F">
        <w:tc>
          <w:tcPr>
            <w:tcW w:w="567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6" w:type="dxa"/>
            <w:shd w:val="clear" w:color="auto" w:fill="auto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«Кругосветка Удмуртии-2024» </w:t>
            </w:r>
            <w:proofErr w:type="spellStart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21.09.2024 г.</w:t>
            </w:r>
          </w:p>
        </w:tc>
        <w:tc>
          <w:tcPr>
            <w:tcW w:w="2005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человек</w:t>
            </w:r>
          </w:p>
        </w:tc>
      </w:tr>
    </w:tbl>
    <w:p w:rsidR="0039630A" w:rsidRPr="00D658CF" w:rsidRDefault="0039630A" w:rsidP="0039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630A" w:rsidRPr="00D658CF" w:rsidSect="00C07430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EF0"/>
    <w:multiLevelType w:val="hybridMultilevel"/>
    <w:tmpl w:val="4DE497D8"/>
    <w:lvl w:ilvl="0" w:tplc="CED8C72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B97"/>
    <w:multiLevelType w:val="hybridMultilevel"/>
    <w:tmpl w:val="6144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313C6"/>
    <w:multiLevelType w:val="hybridMultilevel"/>
    <w:tmpl w:val="EA508EAA"/>
    <w:lvl w:ilvl="0" w:tplc="AE58FCC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95A51"/>
    <w:multiLevelType w:val="hybridMultilevel"/>
    <w:tmpl w:val="500E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5197"/>
    <w:multiLevelType w:val="hybridMultilevel"/>
    <w:tmpl w:val="BC3247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6BE4"/>
    <w:multiLevelType w:val="hybridMultilevel"/>
    <w:tmpl w:val="7D28D28E"/>
    <w:lvl w:ilvl="0" w:tplc="E7986A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CB160C"/>
    <w:multiLevelType w:val="hybridMultilevel"/>
    <w:tmpl w:val="69BCBABA"/>
    <w:lvl w:ilvl="0" w:tplc="14DCB490">
      <w:start w:val="1"/>
      <w:numFmt w:val="bullet"/>
      <w:lvlText w:val=""/>
      <w:lvlJc w:val="left"/>
      <w:pPr>
        <w:ind w:left="151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0005D0"/>
    <w:rsid w:val="00002861"/>
    <w:rsid w:val="00004E26"/>
    <w:rsid w:val="0000791E"/>
    <w:rsid w:val="00044CA8"/>
    <w:rsid w:val="00055C4C"/>
    <w:rsid w:val="00064882"/>
    <w:rsid w:val="000924A0"/>
    <w:rsid w:val="00097499"/>
    <w:rsid w:val="000A6584"/>
    <w:rsid w:val="000F38D8"/>
    <w:rsid w:val="00104C4B"/>
    <w:rsid w:val="00107BBC"/>
    <w:rsid w:val="00111C2C"/>
    <w:rsid w:val="001408E6"/>
    <w:rsid w:val="00140F7E"/>
    <w:rsid w:val="001520DE"/>
    <w:rsid w:val="00184BD1"/>
    <w:rsid w:val="001875A4"/>
    <w:rsid w:val="0019490F"/>
    <w:rsid w:val="001A2162"/>
    <w:rsid w:val="001D01E5"/>
    <w:rsid w:val="001E0F58"/>
    <w:rsid w:val="001F053E"/>
    <w:rsid w:val="001F656A"/>
    <w:rsid w:val="00202644"/>
    <w:rsid w:val="0024450F"/>
    <w:rsid w:val="00271AC3"/>
    <w:rsid w:val="002B035A"/>
    <w:rsid w:val="002D1B24"/>
    <w:rsid w:val="002E70D6"/>
    <w:rsid w:val="002E7C45"/>
    <w:rsid w:val="002F646A"/>
    <w:rsid w:val="002F75BE"/>
    <w:rsid w:val="003032D3"/>
    <w:rsid w:val="00314288"/>
    <w:rsid w:val="0035663D"/>
    <w:rsid w:val="0039630A"/>
    <w:rsid w:val="003A1BA8"/>
    <w:rsid w:val="003A3438"/>
    <w:rsid w:val="003C73CD"/>
    <w:rsid w:val="003F06F7"/>
    <w:rsid w:val="003F676D"/>
    <w:rsid w:val="00420692"/>
    <w:rsid w:val="004237D1"/>
    <w:rsid w:val="004349A7"/>
    <w:rsid w:val="0045786A"/>
    <w:rsid w:val="0047107E"/>
    <w:rsid w:val="00474353"/>
    <w:rsid w:val="00475820"/>
    <w:rsid w:val="004863EE"/>
    <w:rsid w:val="004A1EBA"/>
    <w:rsid w:val="004A6B3F"/>
    <w:rsid w:val="004B08A7"/>
    <w:rsid w:val="004C258E"/>
    <w:rsid w:val="004D0154"/>
    <w:rsid w:val="004E7314"/>
    <w:rsid w:val="0051015A"/>
    <w:rsid w:val="005101AD"/>
    <w:rsid w:val="005263AC"/>
    <w:rsid w:val="0056024A"/>
    <w:rsid w:val="00582889"/>
    <w:rsid w:val="005A7694"/>
    <w:rsid w:val="005A7D11"/>
    <w:rsid w:val="005B46A2"/>
    <w:rsid w:val="005B7BDC"/>
    <w:rsid w:val="005E648E"/>
    <w:rsid w:val="00602A25"/>
    <w:rsid w:val="0060340B"/>
    <w:rsid w:val="00635343"/>
    <w:rsid w:val="00640F82"/>
    <w:rsid w:val="00657D9B"/>
    <w:rsid w:val="0066460A"/>
    <w:rsid w:val="006659C6"/>
    <w:rsid w:val="00666E7A"/>
    <w:rsid w:val="00684251"/>
    <w:rsid w:val="006853BF"/>
    <w:rsid w:val="00686722"/>
    <w:rsid w:val="00692494"/>
    <w:rsid w:val="0069342C"/>
    <w:rsid w:val="00697239"/>
    <w:rsid w:val="006A1E84"/>
    <w:rsid w:val="006D6A16"/>
    <w:rsid w:val="00700386"/>
    <w:rsid w:val="00700D8F"/>
    <w:rsid w:val="007126D2"/>
    <w:rsid w:val="007A18E0"/>
    <w:rsid w:val="007B53D2"/>
    <w:rsid w:val="007E2E6D"/>
    <w:rsid w:val="007E5EC9"/>
    <w:rsid w:val="00804CAE"/>
    <w:rsid w:val="00822461"/>
    <w:rsid w:val="008330FF"/>
    <w:rsid w:val="00856669"/>
    <w:rsid w:val="00856BDD"/>
    <w:rsid w:val="00863193"/>
    <w:rsid w:val="00870DDC"/>
    <w:rsid w:val="008B6E53"/>
    <w:rsid w:val="008E2C5E"/>
    <w:rsid w:val="008E7F0F"/>
    <w:rsid w:val="00911D11"/>
    <w:rsid w:val="00931E10"/>
    <w:rsid w:val="00966E9A"/>
    <w:rsid w:val="009A2674"/>
    <w:rsid w:val="009B5419"/>
    <w:rsid w:val="009C3F43"/>
    <w:rsid w:val="00A0241C"/>
    <w:rsid w:val="00A65971"/>
    <w:rsid w:val="00A70D6F"/>
    <w:rsid w:val="00A72424"/>
    <w:rsid w:val="00A908B0"/>
    <w:rsid w:val="00AC509C"/>
    <w:rsid w:val="00AD634F"/>
    <w:rsid w:val="00B061A4"/>
    <w:rsid w:val="00B34A4A"/>
    <w:rsid w:val="00B52039"/>
    <w:rsid w:val="00B67D99"/>
    <w:rsid w:val="00B80865"/>
    <w:rsid w:val="00B954C8"/>
    <w:rsid w:val="00BE7B31"/>
    <w:rsid w:val="00BF1819"/>
    <w:rsid w:val="00C07430"/>
    <w:rsid w:val="00C42A56"/>
    <w:rsid w:val="00C44ADF"/>
    <w:rsid w:val="00C64CFA"/>
    <w:rsid w:val="00C80C99"/>
    <w:rsid w:val="00C914F3"/>
    <w:rsid w:val="00C9300E"/>
    <w:rsid w:val="00CB2A47"/>
    <w:rsid w:val="00CF5EC6"/>
    <w:rsid w:val="00D057F3"/>
    <w:rsid w:val="00D06A0D"/>
    <w:rsid w:val="00D1087B"/>
    <w:rsid w:val="00D23466"/>
    <w:rsid w:val="00D3466E"/>
    <w:rsid w:val="00D3485C"/>
    <w:rsid w:val="00D63E33"/>
    <w:rsid w:val="00D658CF"/>
    <w:rsid w:val="00D776A6"/>
    <w:rsid w:val="00D8193B"/>
    <w:rsid w:val="00D859EA"/>
    <w:rsid w:val="00DC10A8"/>
    <w:rsid w:val="00DD6290"/>
    <w:rsid w:val="00E0653B"/>
    <w:rsid w:val="00E2401B"/>
    <w:rsid w:val="00E30FBB"/>
    <w:rsid w:val="00E617E0"/>
    <w:rsid w:val="00E74CBA"/>
    <w:rsid w:val="00E810C6"/>
    <w:rsid w:val="00E81EC2"/>
    <w:rsid w:val="00EA2200"/>
    <w:rsid w:val="00EA3FF2"/>
    <w:rsid w:val="00EA5F3D"/>
    <w:rsid w:val="00ED4025"/>
    <w:rsid w:val="00EF24ED"/>
    <w:rsid w:val="00F034C9"/>
    <w:rsid w:val="00F22C6E"/>
    <w:rsid w:val="00F44B0C"/>
    <w:rsid w:val="00F45EC5"/>
    <w:rsid w:val="00F524F1"/>
    <w:rsid w:val="00F676F2"/>
    <w:rsid w:val="00F7497A"/>
    <w:rsid w:val="00F936D6"/>
    <w:rsid w:val="00FA1174"/>
    <w:rsid w:val="00FA1485"/>
    <w:rsid w:val="00FA56C7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BFFC"/>
  <w15:docId w15:val="{CA710C1B-BD3A-445B-86C0-2228E255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16"/>
  </w:style>
  <w:style w:type="paragraph" w:styleId="2">
    <w:name w:val="heading 2"/>
    <w:basedOn w:val="a"/>
    <w:next w:val="a"/>
    <w:link w:val="20"/>
    <w:uiPriority w:val="9"/>
    <w:unhideWhenUsed/>
    <w:qFormat/>
    <w:rsid w:val="00152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20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A1B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9"/>
    <w:uiPriority w:val="59"/>
    <w:rsid w:val="00F749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4552-071A-4FBF-8F48-9F2E5E7E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8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Сарычева М.Н.</dc:creator>
  <cp:lastModifiedBy>User</cp:lastModifiedBy>
  <cp:revision>157</cp:revision>
  <cp:lastPrinted>2024-07-03T07:14:00Z</cp:lastPrinted>
  <dcterms:created xsi:type="dcterms:W3CDTF">2020-04-07T05:18:00Z</dcterms:created>
  <dcterms:modified xsi:type="dcterms:W3CDTF">2024-10-29T07:33:00Z</dcterms:modified>
</cp:coreProperties>
</file>