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5" w:rsidRDefault="00454A3A"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Последствия нелегальных трудовых отношений для работодателя: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  <w:t>принимая на работу неоформленных работников, работодатель несет риски, связанные с производством, т.к. в случае ненадлежащего исполнения работником трудовых обязанностей работодатель может понести существенный ущерб, как материальный (брак, хищение), так и профессиональный (разглашение коммерческой тайны);</w:t>
      </w:r>
      <w:r>
        <w:rPr>
          <w:rFonts w:ascii="Courier New" w:hAnsi="Courier New" w:cs="Courier New"/>
          <w:color w:val="000000"/>
          <w:sz w:val="27"/>
          <w:szCs w:val="27"/>
        </w:rPr>
        <w:br/>
        <w:t>официально неоформленный работник может в любой момент покинуть рабочее место, тем самым спровоцирует простой в производстве;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br/>
        <w:t>несчастный случай с участием неоформленного работника будет квалифицирован как злостное нарушение трудового законодательства и законодательства об охране труда, и ответственность руководителя вряд ли ограничится денежным штрафом.</w:t>
      </w: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  <w:t>Работодатель не должен забывать о том, что меры административной, налоговой и уголовной ответственности при нарушении трудового законодательства реальны и в большинстве случаев неизбежны.</w:t>
      </w:r>
      <w:bookmarkStart w:id="0" w:name="_GoBack"/>
      <w:bookmarkEnd w:id="0"/>
    </w:p>
    <w:sectPr w:rsidR="009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3A"/>
    <w:rsid w:val="00454A3A"/>
    <w:rsid w:val="0080376E"/>
    <w:rsid w:val="009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2023-03-30T04:47:00Z</dcterms:created>
  <dcterms:modified xsi:type="dcterms:W3CDTF">2023-03-30T04:47:00Z</dcterms:modified>
</cp:coreProperties>
</file>