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CD30D" w14:textId="77777777" w:rsidR="00012641" w:rsidRDefault="00012641" w:rsidP="00012641"/>
    <w:p w14:paraId="340E213E" w14:textId="04843917" w:rsidR="007E168A" w:rsidRPr="000B233B" w:rsidRDefault="007E168A" w:rsidP="007E168A">
      <w:pPr>
        <w:ind w:firstLine="709"/>
        <w:jc w:val="both"/>
      </w:pPr>
      <w:proofErr w:type="spellStart"/>
      <w:r w:rsidRPr="00BA0312">
        <w:rPr>
          <w:b/>
          <w:bCs/>
        </w:rPr>
        <w:t>Контрольно</w:t>
      </w:r>
      <w:proofErr w:type="spellEnd"/>
      <w:r w:rsidR="002F0B2A">
        <w:rPr>
          <w:b/>
          <w:bCs/>
        </w:rPr>
        <w:t xml:space="preserve"> – с</w:t>
      </w:r>
      <w:r w:rsidRPr="00BA0312">
        <w:rPr>
          <w:b/>
          <w:bCs/>
        </w:rPr>
        <w:t>четным отделом муниципального образования «Муниципальный округ Можгинский район Удмуртской Республики»</w:t>
      </w:r>
      <w:r w:rsidRPr="000B233B">
        <w:t xml:space="preserve"> проведена </w:t>
      </w:r>
      <w:r w:rsidRPr="001E0C64">
        <w:rPr>
          <w:rFonts w:eastAsia="Calibri"/>
        </w:rPr>
        <w:t xml:space="preserve">внешняя проверка годовой бюджетной отчетности и </w:t>
      </w:r>
      <w:r>
        <w:rPr>
          <w:rFonts w:eastAsia="Calibri"/>
        </w:rPr>
        <w:t>консолидированной</w:t>
      </w:r>
      <w:r w:rsidRPr="001E0C64">
        <w:rPr>
          <w:rFonts w:eastAsia="Calibri"/>
        </w:rPr>
        <w:t xml:space="preserve"> </w:t>
      </w:r>
      <w:r w:rsidR="00F35E41">
        <w:rPr>
          <w:rFonts w:eastAsia="Calibri"/>
        </w:rPr>
        <w:t xml:space="preserve">годовой </w:t>
      </w:r>
      <w:r w:rsidRPr="001E0C64">
        <w:rPr>
          <w:rFonts w:eastAsia="Calibri"/>
        </w:rPr>
        <w:t xml:space="preserve">бухгалтерской отчетности </w:t>
      </w:r>
      <w:r>
        <w:rPr>
          <w:rFonts w:eastAsia="Calibri"/>
        </w:rPr>
        <w:t xml:space="preserve">бюджетных учреждений </w:t>
      </w:r>
      <w:r w:rsidRPr="001E0C64">
        <w:rPr>
          <w:rFonts w:eastAsia="Calibri"/>
        </w:rPr>
        <w:t>главных распорядителей</w:t>
      </w:r>
      <w:r>
        <w:rPr>
          <w:rFonts w:eastAsia="Calibri"/>
        </w:rPr>
        <w:t xml:space="preserve"> средств бюджета</w:t>
      </w:r>
      <w:r w:rsidRPr="001E0C64">
        <w:rPr>
          <w:rFonts w:eastAsia="Calibri"/>
        </w:rPr>
        <w:t>, главных администраторов</w:t>
      </w:r>
      <w:r>
        <w:rPr>
          <w:rFonts w:eastAsia="Calibri"/>
        </w:rPr>
        <w:t xml:space="preserve"> доходов бюджета</w:t>
      </w:r>
      <w:r w:rsidRPr="001E0C64">
        <w:rPr>
          <w:rFonts w:eastAsia="Calibri"/>
        </w:rPr>
        <w:t xml:space="preserve">, </w:t>
      </w:r>
      <w:r>
        <w:rPr>
          <w:rFonts w:eastAsia="Calibri"/>
        </w:rPr>
        <w:t xml:space="preserve">главных </w:t>
      </w:r>
      <w:r w:rsidRPr="001E0C64">
        <w:rPr>
          <w:rFonts w:eastAsia="Calibri"/>
        </w:rPr>
        <w:t>администраторов источников финансирования дефицита бюджета</w:t>
      </w:r>
      <w:r w:rsidR="00846205">
        <w:rPr>
          <w:rFonts w:eastAsia="Calibri"/>
        </w:rPr>
        <w:t xml:space="preserve"> </w:t>
      </w:r>
      <w:r w:rsidR="00846205" w:rsidRPr="00846205">
        <w:rPr>
          <w:rFonts w:eastAsia="Calibri"/>
        </w:rPr>
        <w:t>муниципального образования «Муниципальный округ Можгинский район Удмуртской Республики» за 2022 год</w:t>
      </w:r>
      <w:r w:rsidR="00CF588E">
        <w:rPr>
          <w:rFonts w:eastAsia="Calibri"/>
        </w:rPr>
        <w:t xml:space="preserve"> (дале</w:t>
      </w:r>
      <w:proofErr w:type="gramStart"/>
      <w:r w:rsidR="00CF588E">
        <w:rPr>
          <w:rFonts w:eastAsia="Calibri"/>
        </w:rPr>
        <w:t>е-</w:t>
      </w:r>
      <w:proofErr w:type="gramEnd"/>
      <w:r w:rsidR="00CF588E">
        <w:rPr>
          <w:rFonts w:eastAsia="Calibri"/>
        </w:rPr>
        <w:t xml:space="preserve"> Отчетность)</w:t>
      </w:r>
      <w:r w:rsidR="00F35E41">
        <w:rPr>
          <w:rFonts w:eastAsia="Calibri"/>
        </w:rPr>
        <w:t>.</w:t>
      </w:r>
    </w:p>
    <w:p w14:paraId="1D1E10CE" w14:textId="074B4519" w:rsidR="007E168A" w:rsidRDefault="007E168A" w:rsidP="007E168A">
      <w:pPr>
        <w:shd w:val="clear" w:color="auto" w:fill="FFFFFF"/>
        <w:ind w:firstLine="709"/>
        <w:jc w:val="both"/>
      </w:pPr>
      <w:proofErr w:type="gramStart"/>
      <w:r w:rsidRPr="001E0C64">
        <w:rPr>
          <w:rFonts w:eastAsia="Calibri"/>
        </w:rPr>
        <w:t xml:space="preserve">В соответствии со </w:t>
      </w:r>
      <w:r w:rsidR="00F35E41">
        <w:rPr>
          <w:rFonts w:eastAsia="Calibri"/>
        </w:rPr>
        <w:t xml:space="preserve"> стать</w:t>
      </w:r>
      <w:r w:rsidR="00A063E6">
        <w:rPr>
          <w:rFonts w:eastAsia="Calibri"/>
        </w:rPr>
        <w:t>ей</w:t>
      </w:r>
      <w:r w:rsidRPr="001E0C64">
        <w:rPr>
          <w:rFonts w:eastAsia="Calibri"/>
        </w:rPr>
        <w:t xml:space="preserve"> 264.3 БК РФ, Инструкциями № 191н и № 33н</w:t>
      </w:r>
      <w:r w:rsidR="00F35E41">
        <w:rPr>
          <w:rFonts w:eastAsia="Calibri"/>
        </w:rPr>
        <w:t xml:space="preserve"> и</w:t>
      </w:r>
      <w:r w:rsidRPr="001E0C64">
        <w:rPr>
          <w:rFonts w:eastAsia="Calibri"/>
        </w:rPr>
        <w:t xml:space="preserve"> на основании приказа Управления финансов от 2</w:t>
      </w:r>
      <w:r w:rsidR="00F35E41">
        <w:rPr>
          <w:rFonts w:eastAsia="Calibri"/>
        </w:rPr>
        <w:t>0</w:t>
      </w:r>
      <w:r w:rsidRPr="001E0C64">
        <w:rPr>
          <w:rFonts w:eastAsia="Calibri"/>
        </w:rPr>
        <w:t>.12.202</w:t>
      </w:r>
      <w:r w:rsidR="00F35E41">
        <w:rPr>
          <w:rFonts w:eastAsia="Calibri"/>
        </w:rPr>
        <w:t>2</w:t>
      </w:r>
      <w:r w:rsidRPr="001E0C64">
        <w:rPr>
          <w:rFonts w:eastAsia="Calibri"/>
        </w:rPr>
        <w:t xml:space="preserve">г. № </w:t>
      </w:r>
      <w:r w:rsidR="00F35E41">
        <w:rPr>
          <w:rFonts w:eastAsia="Calibri"/>
        </w:rPr>
        <w:t>70</w:t>
      </w:r>
      <w:r w:rsidRPr="001E0C64">
        <w:rPr>
          <w:rFonts w:eastAsia="Calibri"/>
        </w:rPr>
        <w:t xml:space="preserve"> «О сроках представления годовой бюджетной отчетности и </w:t>
      </w:r>
      <w:r w:rsidR="00F35E41">
        <w:rPr>
          <w:rFonts w:eastAsia="Calibri"/>
        </w:rPr>
        <w:t xml:space="preserve">консолидированной </w:t>
      </w:r>
      <w:r w:rsidRPr="001E0C64">
        <w:rPr>
          <w:rFonts w:eastAsia="Calibri"/>
        </w:rPr>
        <w:t xml:space="preserve"> годовой бухгалтерской отчетности бюджетных учреждений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муниципального образования «Муниципальный округ Можгинский район Удмуртской Республики»</w:t>
      </w:r>
      <w:bookmarkStart w:id="0" w:name="_GoBack"/>
      <w:bookmarkEnd w:id="0"/>
      <w:r w:rsidRPr="001E0C64">
        <w:rPr>
          <w:rFonts w:eastAsia="Calibri"/>
        </w:rPr>
        <w:t xml:space="preserve"> за 202</w:t>
      </w:r>
      <w:r w:rsidR="00F35E41">
        <w:rPr>
          <w:rFonts w:eastAsia="Calibri"/>
        </w:rPr>
        <w:t>2</w:t>
      </w:r>
      <w:r w:rsidRPr="001E0C64">
        <w:rPr>
          <w:rFonts w:eastAsia="Calibri"/>
        </w:rPr>
        <w:t xml:space="preserve"> год» </w:t>
      </w:r>
      <w:r w:rsidR="00CF588E">
        <w:rPr>
          <w:rFonts w:eastAsia="Calibri"/>
        </w:rPr>
        <w:t>Отчетность</w:t>
      </w:r>
      <w:proofErr w:type="gramEnd"/>
      <w:r w:rsidRPr="001E0C64">
        <w:rPr>
          <w:rFonts w:eastAsia="Calibri"/>
        </w:rPr>
        <w:t xml:space="preserve"> </w:t>
      </w:r>
      <w:proofErr w:type="gramStart"/>
      <w:r w:rsidRPr="001E0C64">
        <w:rPr>
          <w:rFonts w:eastAsia="Calibri"/>
        </w:rPr>
        <w:t xml:space="preserve">в электронной виде в программном комплексе «Смарт-свод» и на бумажном носителе </w:t>
      </w:r>
      <w:r w:rsidRPr="001E0C64">
        <w:rPr>
          <w:rFonts w:eastAsia="Calibri"/>
          <w:color w:val="000000"/>
        </w:rPr>
        <w:t>представлена в Управление финансов</w:t>
      </w:r>
      <w:r w:rsidRPr="001E0C64">
        <w:rPr>
          <w:rFonts w:eastAsia="Calibri"/>
        </w:rPr>
        <w:t xml:space="preserve"> в установленные сроки</w:t>
      </w:r>
      <w:r w:rsidRPr="000B233B">
        <w:rPr>
          <w:rFonts w:eastAsia="Calibri"/>
        </w:rPr>
        <w:t xml:space="preserve"> и</w:t>
      </w:r>
      <w:r w:rsidRPr="000B233B">
        <w:t xml:space="preserve"> в полном объеме форм, требования к составу отчетности  соблюдены, несоответствий содержания форм отчетности требованиям Инструкций № 191н, № 33н не выявлено, наличие фактов негативно влияющих на достоверность  показателей отчетности не установлены.</w:t>
      </w:r>
      <w:proofErr w:type="gramEnd"/>
    </w:p>
    <w:p w14:paraId="3982E174" w14:textId="5EC4E7BF" w:rsidR="00CF588E" w:rsidRDefault="00CF588E" w:rsidP="00CF588E">
      <w:pPr>
        <w:shd w:val="clear" w:color="auto" w:fill="FFFFFF"/>
        <w:ind w:firstLine="709"/>
        <w:jc w:val="both"/>
      </w:pPr>
      <w:r>
        <w:t>Отчетность представлена ГРБС в контрольно-счетный отдел в срок, установленный  частью 2 статьи 21 Положения о бюджетном процессе.</w:t>
      </w:r>
    </w:p>
    <w:p w14:paraId="31EED9C5" w14:textId="6D0FDFBA" w:rsidR="00CF588E" w:rsidRDefault="00CF588E" w:rsidP="00CF588E">
      <w:pPr>
        <w:shd w:val="clear" w:color="auto" w:fill="FFFFFF"/>
        <w:ind w:firstLine="709"/>
        <w:jc w:val="both"/>
      </w:pPr>
      <w:r>
        <w:t>При проверке комплектности и соответствия форм Отчетности требованиям Инструкций № 191н и № 33н нарушений не установлено.</w:t>
      </w:r>
    </w:p>
    <w:p w14:paraId="19C88CFC" w14:textId="1B978E98" w:rsidR="006F70F5" w:rsidRPr="000B233B" w:rsidRDefault="006F70F5" w:rsidP="006F70F5">
      <w:pPr>
        <w:shd w:val="clear" w:color="auto" w:fill="FFFFFF"/>
        <w:ind w:firstLine="709"/>
        <w:jc w:val="both"/>
      </w:pPr>
      <w:r>
        <w:t xml:space="preserve">Представленная в контрольно-счетный отдел на бумажном носителе Отчетность подписана руководителем и главным бухгалтером, направлена </w:t>
      </w:r>
      <w:proofErr w:type="gramStart"/>
      <w:r>
        <w:t>с</w:t>
      </w:r>
      <w:proofErr w:type="gramEnd"/>
      <w:r>
        <w:t xml:space="preserve"> сопроводительным листом, что соответствует требованиям пункта 6  Инструкции № 33н, пункта 4 Инструкции № 191н.</w:t>
      </w:r>
    </w:p>
    <w:p w14:paraId="25777B0A" w14:textId="4C484815" w:rsidR="007E168A" w:rsidRDefault="007E168A" w:rsidP="007E168A">
      <w:pPr>
        <w:ind w:firstLine="709"/>
        <w:jc w:val="both"/>
        <w:rPr>
          <w:rFonts w:eastAsia="Calibri"/>
        </w:rPr>
      </w:pPr>
      <w:r w:rsidRPr="001E0C64">
        <w:rPr>
          <w:rFonts w:eastAsia="Calibri"/>
        </w:rPr>
        <w:t>В полном объеме проведена консолидация расчетов в части операций по безвозмездной и безвозвратной передаче (получению) нефинансовых.</w:t>
      </w:r>
    </w:p>
    <w:p w14:paraId="2D0E0827" w14:textId="21C0C812" w:rsidR="00A063E6" w:rsidRPr="00A063E6" w:rsidRDefault="00A063E6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Pr="00A063E6">
        <w:rPr>
          <w:rFonts w:eastAsia="Calibri"/>
        </w:rPr>
        <w:t>ри выборочной  сверке контрольных соотношений взаимосвязанных показателей между формами Отчетности расхождений не выявлено</w:t>
      </w:r>
      <w:r>
        <w:rPr>
          <w:rFonts w:eastAsia="Calibri"/>
        </w:rPr>
        <w:t>.</w:t>
      </w:r>
    </w:p>
    <w:p w14:paraId="0E5B875A" w14:textId="4272B1A2" w:rsidR="00A063E6" w:rsidRPr="00A063E6" w:rsidRDefault="00062624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A063E6" w:rsidRPr="00A063E6">
        <w:rPr>
          <w:rFonts w:eastAsia="Calibri"/>
        </w:rPr>
        <w:t>ыборочно проведена проверка логической и арифметической увязки показателей между формами Отчетности, нарушений не выявлено</w:t>
      </w:r>
      <w:r>
        <w:rPr>
          <w:rFonts w:eastAsia="Calibri"/>
        </w:rPr>
        <w:t>.</w:t>
      </w:r>
    </w:p>
    <w:p w14:paraId="68645099" w14:textId="66A4CBBE" w:rsidR="00A063E6" w:rsidRDefault="00A063E6" w:rsidP="00A063E6">
      <w:pPr>
        <w:ind w:firstLine="709"/>
        <w:jc w:val="both"/>
        <w:rPr>
          <w:rFonts w:eastAsia="Calibri"/>
        </w:rPr>
      </w:pPr>
      <w:r w:rsidRPr="00A063E6">
        <w:rPr>
          <w:rFonts w:eastAsia="Calibri"/>
        </w:rPr>
        <w:t>Отчетность составлена на основании данных главных книг и регистров бюджетного учета. В ходе внешней проверки сверены показатели  форм Отчетности ф. 0503130, ф. 0503730 с показателями главной книги по всем ГРБС,  искажения бюджетной отчетности не установлены.</w:t>
      </w:r>
    </w:p>
    <w:p w14:paraId="624DDE28" w14:textId="50761034" w:rsidR="00522B46" w:rsidRDefault="00522B46" w:rsidP="00A063E6">
      <w:pPr>
        <w:ind w:firstLine="709"/>
        <w:jc w:val="both"/>
        <w:rPr>
          <w:rFonts w:eastAsia="Calibri"/>
        </w:rPr>
      </w:pPr>
      <w:r w:rsidRPr="00522B46">
        <w:rPr>
          <w:rFonts w:eastAsia="Calibri"/>
        </w:rPr>
        <w:t>Также сверены с главной книгой показатели ф. 0503168 (0503768), ф. 0503169 (0503769), равенство показателей по кодам КОСГУ, отраженным в справке к балансу по заключению счетов бюджетного учета ф. 0503110 и в отчете о финансовых результатах деятельности (ф. 0503121) соблюдено.</w:t>
      </w:r>
    </w:p>
    <w:p w14:paraId="59BE1FBC" w14:textId="0614C19D" w:rsidR="00522B46" w:rsidRDefault="00522B46" w:rsidP="00A063E6">
      <w:pPr>
        <w:ind w:firstLine="709"/>
        <w:jc w:val="both"/>
        <w:rPr>
          <w:rFonts w:eastAsia="Calibri"/>
        </w:rPr>
      </w:pPr>
      <w:r w:rsidRPr="00522B46">
        <w:rPr>
          <w:rFonts w:eastAsia="Calibri"/>
        </w:rPr>
        <w:t>Анализом пояснительных записок выявлено, что пояснительные записки ГРБС в основном заполнены должным образом (по заполнению форм и таблиц, входящих в состав пояснительных записок, установлены отдельные замечания).</w:t>
      </w:r>
    </w:p>
    <w:p w14:paraId="6B74F3AB" w14:textId="2C43AAD4" w:rsidR="00A063E6" w:rsidRDefault="00062624" w:rsidP="00A063E6">
      <w:pPr>
        <w:ind w:firstLine="709"/>
        <w:jc w:val="both"/>
        <w:rPr>
          <w:rFonts w:eastAsia="Calibri"/>
        </w:rPr>
      </w:pPr>
      <w:r>
        <w:rPr>
          <w:rFonts w:eastAsia="Calibri"/>
        </w:rPr>
        <w:t>Н</w:t>
      </w:r>
      <w:r w:rsidR="00A063E6" w:rsidRPr="00A063E6">
        <w:rPr>
          <w:rFonts w:eastAsia="Calibri"/>
        </w:rPr>
        <w:t>есоответствий содержания форм Отчетности требованиям Инструкций № 191н,  № 33н не выявлено, наличие фактов негативно влияющих на достоверность  показателей отчетности не установлено. Годовая отчетность, представленная ГРБС,  признана  полной и достоверной.</w:t>
      </w:r>
    </w:p>
    <w:p w14:paraId="2EA6F201" w14:textId="3AFD437C" w:rsidR="00A063E6" w:rsidRDefault="00A063E6" w:rsidP="00A063E6">
      <w:pPr>
        <w:ind w:firstLine="709"/>
        <w:jc w:val="both"/>
        <w:rPr>
          <w:rFonts w:eastAsia="Calibri"/>
        </w:rPr>
      </w:pPr>
      <w:r w:rsidRPr="00A063E6">
        <w:rPr>
          <w:rFonts w:eastAsia="Calibri"/>
        </w:rPr>
        <w:t xml:space="preserve">Выборочная проверка контрольных соотношений взаимосвязанных показателей между формами бюджетной отчетности Управления финансов: Баланс (ф.0503320), Отчет </w:t>
      </w:r>
      <w:r w:rsidRPr="00A063E6">
        <w:rPr>
          <w:rFonts w:eastAsia="Calibri"/>
        </w:rPr>
        <w:lastRenderedPageBreak/>
        <w:t>о финансовых результатах деятельности (ф. 0503321), Отчет об исполнении бюджета (ф. 0503317), Справка по заключению счетов бюджетного учета отчетного финансового года (ф.0503110), подтвердила правильность составления, достоверность и сбалансированность представленных Отчетов</w:t>
      </w:r>
      <w:r w:rsidR="00062624">
        <w:rPr>
          <w:rFonts w:eastAsia="Calibri"/>
        </w:rPr>
        <w:t>.</w:t>
      </w:r>
    </w:p>
    <w:sectPr w:rsidR="00A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B89"/>
    <w:multiLevelType w:val="hybridMultilevel"/>
    <w:tmpl w:val="E47E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BE"/>
    <w:rsid w:val="00012641"/>
    <w:rsid w:val="000261F4"/>
    <w:rsid w:val="0003009B"/>
    <w:rsid w:val="00044C5E"/>
    <w:rsid w:val="0005639F"/>
    <w:rsid w:val="00062624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0B2A"/>
    <w:rsid w:val="002F4074"/>
    <w:rsid w:val="002F4704"/>
    <w:rsid w:val="003025C1"/>
    <w:rsid w:val="00305476"/>
    <w:rsid w:val="00312A77"/>
    <w:rsid w:val="00315F42"/>
    <w:rsid w:val="003242FF"/>
    <w:rsid w:val="00333011"/>
    <w:rsid w:val="003371EC"/>
    <w:rsid w:val="00340ABF"/>
    <w:rsid w:val="00342EA4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22B46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77856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6F70F5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8A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6205"/>
    <w:rsid w:val="00847026"/>
    <w:rsid w:val="00850A7A"/>
    <w:rsid w:val="00852DC4"/>
    <w:rsid w:val="00855D67"/>
    <w:rsid w:val="008563CA"/>
    <w:rsid w:val="00864A22"/>
    <w:rsid w:val="00866441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5D1B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3E6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779E7"/>
    <w:rsid w:val="00A77CB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0312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CF588E"/>
    <w:rsid w:val="00D03A2E"/>
    <w:rsid w:val="00D03C77"/>
    <w:rsid w:val="00D03F27"/>
    <w:rsid w:val="00D05473"/>
    <w:rsid w:val="00D06CDD"/>
    <w:rsid w:val="00D10371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16EA"/>
    <w:rsid w:val="00D73EC4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35E41"/>
    <w:rsid w:val="00F40A97"/>
    <w:rsid w:val="00F553A8"/>
    <w:rsid w:val="00F61963"/>
    <w:rsid w:val="00F61B90"/>
    <w:rsid w:val="00F666C8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2018-04-12T11:26:00Z</cp:lastPrinted>
  <dcterms:created xsi:type="dcterms:W3CDTF">2018-04-12T10:30:00Z</dcterms:created>
  <dcterms:modified xsi:type="dcterms:W3CDTF">2023-04-17T06:30:00Z</dcterms:modified>
</cp:coreProperties>
</file>