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4962"/>
      </w:tblGrid>
      <w:tr w:rsidR="00370354" w:rsidRPr="006A580B" w:rsidTr="003E3830">
        <w:tc>
          <w:tcPr>
            <w:tcW w:w="4253" w:type="dxa"/>
            <w:tcBorders>
              <w:top w:val="nil"/>
              <w:left w:val="nil"/>
              <w:bottom w:val="nil"/>
              <w:right w:val="nil"/>
            </w:tcBorders>
          </w:tcPr>
          <w:p w:rsidR="00370354" w:rsidRPr="006A580B" w:rsidRDefault="00370354" w:rsidP="003E3830">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370354" w:rsidRPr="006A580B" w:rsidRDefault="005A6FED" w:rsidP="005A6FED">
            <w:pPr>
              <w:jc w:val="center"/>
              <w:rPr>
                <w:rFonts w:ascii="Times New Roman" w:hAnsi="Times New Roman" w:cs="Times New Roman"/>
              </w:rPr>
            </w:pPr>
            <w:r>
              <w:rPr>
                <w:noProof/>
                <w:sz w:val="20"/>
                <w:szCs w:val="20"/>
                <w:lang w:eastAsia="ru-RU"/>
              </w:rPr>
              <w:drawing>
                <wp:inline distT="0" distB="0" distL="0" distR="0">
                  <wp:extent cx="555625" cy="795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795020"/>
                          </a:xfrm>
                          <a:prstGeom prst="rect">
                            <a:avLst/>
                          </a:prstGeom>
                          <a:noFill/>
                          <a:ln>
                            <a:noFill/>
                          </a:ln>
                        </pic:spPr>
                      </pic:pic>
                    </a:graphicData>
                  </a:graphic>
                </wp:inline>
              </w:drawing>
            </w:r>
          </w:p>
        </w:tc>
        <w:tc>
          <w:tcPr>
            <w:tcW w:w="4962" w:type="dxa"/>
            <w:tcBorders>
              <w:top w:val="nil"/>
              <w:left w:val="nil"/>
              <w:bottom w:val="nil"/>
              <w:right w:val="nil"/>
            </w:tcBorders>
          </w:tcPr>
          <w:p w:rsidR="00370354" w:rsidRPr="006A580B" w:rsidRDefault="00370354" w:rsidP="003E3830">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370354" w:rsidRPr="006A580B" w:rsidRDefault="00370354" w:rsidP="003E3830">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370354" w:rsidRPr="006A580B" w:rsidRDefault="00370354" w:rsidP="003E3830">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370354" w:rsidRDefault="00370354" w:rsidP="00370354">
      <w:pPr>
        <w:spacing w:line="240" w:lineRule="auto"/>
        <w:ind w:left="-567" w:firstLine="567"/>
        <w:contextualSpacing/>
        <w:jc w:val="center"/>
        <w:rPr>
          <w:b/>
        </w:rPr>
      </w:pPr>
    </w:p>
    <w:p w:rsidR="00370354" w:rsidRDefault="00370354" w:rsidP="00370354">
      <w:pPr>
        <w:spacing w:line="240" w:lineRule="auto"/>
        <w:ind w:left="-567" w:firstLine="567"/>
        <w:contextualSpacing/>
        <w:jc w:val="both"/>
        <w:rPr>
          <w:rFonts w:ascii="Times New Roman" w:hAnsi="Times New Roman" w:cs="Times New Roman"/>
          <w:i/>
        </w:rPr>
      </w:pPr>
    </w:p>
    <w:p w:rsidR="003256C0" w:rsidRPr="003256C0" w:rsidRDefault="003256C0" w:rsidP="003256C0">
      <w:pPr>
        <w:spacing w:after="0" w:line="240" w:lineRule="auto"/>
        <w:ind w:left="-851" w:right="142" w:firstLine="851"/>
        <w:jc w:val="both"/>
        <w:rPr>
          <w:rFonts w:ascii="Times New Roman" w:hAnsi="Times New Roman" w:cs="Times New Roman"/>
          <w:b/>
        </w:rPr>
      </w:pPr>
      <w:proofErr w:type="gramStart"/>
      <w:r w:rsidRPr="003256C0">
        <w:rPr>
          <w:rFonts w:ascii="Times New Roman" w:hAnsi="Times New Roman" w:cs="Times New Roman"/>
          <w:b/>
        </w:rPr>
        <w:t>В срок с 13</w:t>
      </w:r>
      <w:r w:rsidR="005168E6" w:rsidRPr="003256C0">
        <w:rPr>
          <w:rFonts w:ascii="Times New Roman" w:hAnsi="Times New Roman" w:cs="Times New Roman"/>
          <w:b/>
        </w:rPr>
        <w:t xml:space="preserve"> </w:t>
      </w:r>
      <w:r w:rsidRPr="003256C0">
        <w:rPr>
          <w:rFonts w:ascii="Times New Roman" w:hAnsi="Times New Roman" w:cs="Times New Roman"/>
          <w:b/>
        </w:rPr>
        <w:t>февраля</w:t>
      </w:r>
      <w:r w:rsidR="00A23AAB" w:rsidRPr="003256C0">
        <w:rPr>
          <w:rFonts w:ascii="Times New Roman" w:hAnsi="Times New Roman" w:cs="Times New Roman"/>
          <w:b/>
        </w:rPr>
        <w:t xml:space="preserve"> </w:t>
      </w:r>
      <w:r w:rsidR="00774348" w:rsidRPr="003256C0">
        <w:rPr>
          <w:rFonts w:ascii="Times New Roman" w:hAnsi="Times New Roman" w:cs="Times New Roman"/>
          <w:b/>
        </w:rPr>
        <w:t xml:space="preserve">по </w:t>
      </w:r>
      <w:r w:rsidRPr="003256C0">
        <w:rPr>
          <w:rFonts w:ascii="Times New Roman" w:hAnsi="Times New Roman" w:cs="Times New Roman"/>
          <w:b/>
        </w:rPr>
        <w:t>10 марта</w:t>
      </w:r>
      <w:r w:rsidR="00B20AB6" w:rsidRPr="003256C0">
        <w:rPr>
          <w:rFonts w:ascii="Times New Roman" w:hAnsi="Times New Roman" w:cs="Times New Roman"/>
          <w:b/>
        </w:rPr>
        <w:t xml:space="preserve"> 202</w:t>
      </w:r>
      <w:r w:rsidR="005168E6" w:rsidRPr="003256C0">
        <w:rPr>
          <w:rFonts w:ascii="Times New Roman" w:hAnsi="Times New Roman" w:cs="Times New Roman"/>
          <w:b/>
        </w:rPr>
        <w:t>3</w:t>
      </w:r>
      <w:r w:rsidR="00774348" w:rsidRPr="003256C0">
        <w:rPr>
          <w:rFonts w:ascii="Times New Roman" w:hAnsi="Times New Roman" w:cs="Times New Roman"/>
          <w:b/>
        </w:rPr>
        <w:t xml:space="preserve"> года </w:t>
      </w:r>
      <w:r w:rsidRPr="003256C0">
        <w:rPr>
          <w:rFonts w:ascii="Times New Roman" w:hAnsi="Times New Roman" w:cs="Times New Roman"/>
          <w:b/>
        </w:rPr>
        <w:t>председателем и главным инспектором контрольно-счетного отдела</w:t>
      </w:r>
      <w:r w:rsidRPr="003256C0">
        <w:rPr>
          <w:rFonts w:ascii="Times New Roman" w:hAnsi="Times New Roman" w:cs="Times New Roman"/>
        </w:rPr>
        <w:t xml:space="preserve"> </w:t>
      </w:r>
      <w:r w:rsidR="00902346" w:rsidRPr="003256C0">
        <w:rPr>
          <w:rFonts w:ascii="Times New Roman" w:hAnsi="Times New Roman" w:cs="Times New Roman"/>
          <w:b/>
        </w:rPr>
        <w:t>муниципального образования «</w:t>
      </w:r>
      <w:r w:rsidR="001D00CF" w:rsidRPr="003256C0">
        <w:rPr>
          <w:rFonts w:ascii="Times New Roman" w:hAnsi="Times New Roman" w:cs="Times New Roman"/>
          <w:b/>
        </w:rPr>
        <w:t xml:space="preserve">Муниципальный округ </w:t>
      </w:r>
      <w:r w:rsidR="00902346" w:rsidRPr="003256C0">
        <w:rPr>
          <w:rFonts w:ascii="Times New Roman" w:hAnsi="Times New Roman" w:cs="Times New Roman"/>
          <w:b/>
        </w:rPr>
        <w:t>Можгинский район</w:t>
      </w:r>
      <w:r w:rsidR="001D00CF" w:rsidRPr="003256C0">
        <w:rPr>
          <w:rFonts w:ascii="Times New Roman" w:hAnsi="Times New Roman" w:cs="Times New Roman"/>
          <w:b/>
        </w:rPr>
        <w:t xml:space="preserve"> Удмуртской Республики</w:t>
      </w:r>
      <w:r w:rsidR="00902346" w:rsidRPr="003256C0">
        <w:rPr>
          <w:rFonts w:ascii="Times New Roman" w:hAnsi="Times New Roman" w:cs="Times New Roman"/>
          <w:b/>
        </w:rPr>
        <w:t>»</w:t>
      </w:r>
      <w:r w:rsidR="000D027D" w:rsidRPr="003256C0">
        <w:rPr>
          <w:rFonts w:ascii="Times New Roman" w:hAnsi="Times New Roman" w:cs="Times New Roman"/>
          <w:b/>
        </w:rPr>
        <w:t xml:space="preserve"> </w:t>
      </w:r>
      <w:r w:rsidR="00774348" w:rsidRPr="003256C0">
        <w:rPr>
          <w:rFonts w:ascii="Times New Roman" w:hAnsi="Times New Roman" w:cs="Times New Roman"/>
          <w:b/>
        </w:rPr>
        <w:t xml:space="preserve">проведена </w:t>
      </w:r>
      <w:r w:rsidRPr="003256C0">
        <w:rPr>
          <w:rFonts w:ascii="Times New Roman" w:hAnsi="Times New Roman" w:cs="Times New Roman"/>
          <w:b/>
        </w:rPr>
        <w:t>внешняя проверка годовой бюджетной отчетности и консолидированной годовой бухгалтерской отчетности бюджетных учреждений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муниципального образования  «Муниципальный округ Можгинский район Удмуртской Республики»  за</w:t>
      </w:r>
      <w:proofErr w:type="gramEnd"/>
      <w:r w:rsidRPr="003256C0">
        <w:rPr>
          <w:rFonts w:ascii="Times New Roman" w:hAnsi="Times New Roman" w:cs="Times New Roman"/>
          <w:b/>
        </w:rPr>
        <w:t xml:space="preserve"> 2022 год.</w:t>
      </w:r>
    </w:p>
    <w:p w:rsidR="003256C0" w:rsidRPr="003256C0" w:rsidRDefault="003256C0" w:rsidP="003256C0">
      <w:pPr>
        <w:spacing w:after="0" w:line="240" w:lineRule="auto"/>
        <w:ind w:left="-851" w:right="142" w:firstLine="851"/>
        <w:jc w:val="both"/>
        <w:rPr>
          <w:rFonts w:ascii="Times New Roman" w:hAnsi="Times New Roman" w:cs="Times New Roman"/>
        </w:rPr>
      </w:pPr>
      <w:proofErr w:type="gramStart"/>
      <w:r w:rsidRPr="003256C0">
        <w:rPr>
          <w:rFonts w:ascii="Times New Roman" w:hAnsi="Times New Roman" w:cs="Times New Roman"/>
        </w:rPr>
        <w:t>В соответствии со статьями  264.4, 268.1 Бюджетного кодекса Российской Федерации</w:t>
      </w:r>
      <w:r>
        <w:rPr>
          <w:rFonts w:ascii="Times New Roman" w:hAnsi="Times New Roman" w:cs="Times New Roman"/>
        </w:rPr>
        <w:t>, в ред. изменений</w:t>
      </w:r>
      <w:r w:rsidRPr="003256C0">
        <w:rPr>
          <w:rFonts w:ascii="Times New Roman" w:hAnsi="Times New Roman" w:cs="Times New Roman"/>
        </w:rPr>
        <w:t>, Федеральными законами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 и от 06.10.2003г. № 131-ФЗ «Об общих принципах организации местного самоуправления в Российской Федерации», с учетом внесенных изменений,  Законом Удмуртской Республики от</w:t>
      </w:r>
      <w:proofErr w:type="gramEnd"/>
      <w:r w:rsidRPr="003256C0">
        <w:rPr>
          <w:rFonts w:ascii="Times New Roman" w:hAnsi="Times New Roman" w:cs="Times New Roman"/>
        </w:rPr>
        <w:t xml:space="preserve"> </w:t>
      </w:r>
      <w:proofErr w:type="gramStart"/>
      <w:r w:rsidRPr="003256C0">
        <w:rPr>
          <w:rFonts w:ascii="Times New Roman" w:hAnsi="Times New Roman" w:cs="Times New Roman"/>
        </w:rPr>
        <w:t>11 июня 2021 года №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статусом муниципального округа», статьями 34, 36 Устава муниципального образования «Муниципальный округ Можгинский район Удмуртской Республики», на основании Положения о контрольно - счетном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w:t>
      </w:r>
      <w:proofErr w:type="gramEnd"/>
      <w:r w:rsidRPr="003256C0">
        <w:rPr>
          <w:rFonts w:ascii="Times New Roman" w:hAnsi="Times New Roman" w:cs="Times New Roman"/>
        </w:rPr>
        <w:t xml:space="preserve"> </w:t>
      </w:r>
      <w:proofErr w:type="gramStart"/>
      <w:r w:rsidRPr="003256C0">
        <w:rPr>
          <w:rFonts w:ascii="Times New Roman" w:hAnsi="Times New Roman" w:cs="Times New Roman"/>
        </w:rPr>
        <w:t>Можгинский район Удмуртской Республики» от  15 декабря 2021г. № 4.12, пункта 1.3 плана работы контрольно-счетного отдела на  2023 год, утвержденного приказом контрольно-счетного отдела  от 29 декабря 2022г. № 30-од, приказа контрольно-счетного отдела от 10 февраля 2023 года № 3-од «О проведении внешней проверки годовой бюджетной отчетности и консолидированной годовой бухгалтерской отчетности за 2022 год», Стандарта внешнего муниципального финансового контроля «</w:t>
      </w:r>
      <w:r w:rsidRPr="003256C0">
        <w:rPr>
          <w:rFonts w:ascii="Times New Roman" w:hAnsi="Times New Roman" w:cs="Times New Roman"/>
          <w:bCs/>
        </w:rPr>
        <w:t>Организация и проведение внешней</w:t>
      </w:r>
      <w:proofErr w:type="gramEnd"/>
      <w:r w:rsidRPr="003256C0">
        <w:rPr>
          <w:rFonts w:ascii="Times New Roman" w:hAnsi="Times New Roman" w:cs="Times New Roman"/>
          <w:bCs/>
        </w:rPr>
        <w:t xml:space="preserve"> </w:t>
      </w:r>
      <w:proofErr w:type="gramStart"/>
      <w:r w:rsidRPr="003256C0">
        <w:rPr>
          <w:rFonts w:ascii="Times New Roman" w:hAnsi="Times New Roman" w:cs="Times New Roman"/>
          <w:bCs/>
        </w:rPr>
        <w:t>проверки годовой бюджетной (бухгалтерской) отчетности и  проверки годового отчета</w:t>
      </w:r>
      <w:r w:rsidRPr="003256C0">
        <w:rPr>
          <w:rFonts w:ascii="Times New Roman" w:hAnsi="Times New Roman" w:cs="Times New Roman"/>
        </w:rPr>
        <w:t xml:space="preserve"> об исполнении местного бюджета»  (СВФМК-КСО-2), утвержденного приказом контрольно-счетного отдела от 11 января 2022г. № 8-од проведена внешняя проверка годовой бюджетной отчетности и консолидированной годовой бухгалтерской отчетности бюджетных учреждений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муниципального образования  «Муниципальный округ Можгинский район Удмуртской</w:t>
      </w:r>
      <w:proofErr w:type="gramEnd"/>
      <w:r w:rsidRPr="003256C0">
        <w:rPr>
          <w:rFonts w:ascii="Times New Roman" w:hAnsi="Times New Roman" w:cs="Times New Roman"/>
        </w:rPr>
        <w:t xml:space="preserve"> Республики»  за 2022 год.</w:t>
      </w:r>
    </w:p>
    <w:p w:rsidR="003256C0" w:rsidRPr="003256C0" w:rsidRDefault="003256C0" w:rsidP="003256C0">
      <w:pPr>
        <w:pStyle w:val="af0"/>
        <w:ind w:left="-851" w:right="142" w:firstLine="851"/>
        <w:jc w:val="both"/>
        <w:rPr>
          <w:rFonts w:ascii="Times New Roman" w:hAnsi="Times New Roman"/>
          <w:b w:val="0"/>
          <w:bCs w:val="0"/>
          <w:sz w:val="22"/>
          <w:szCs w:val="22"/>
        </w:rPr>
      </w:pPr>
      <w:proofErr w:type="gramStart"/>
      <w:r w:rsidRPr="003256C0">
        <w:rPr>
          <w:rFonts w:ascii="Times New Roman" w:hAnsi="Times New Roman"/>
          <w:b w:val="0"/>
          <w:i/>
          <w:sz w:val="22"/>
          <w:szCs w:val="22"/>
        </w:rPr>
        <w:t xml:space="preserve">Целями контрольного мероприятия являются: </w:t>
      </w:r>
      <w:r w:rsidRPr="003256C0">
        <w:rPr>
          <w:rFonts w:ascii="Times New Roman" w:hAnsi="Times New Roman"/>
          <w:b w:val="0"/>
          <w:sz w:val="22"/>
          <w:szCs w:val="22"/>
        </w:rPr>
        <w:t>установление законности, степени полноты и достоверности представленной годовой бюджетной отчетности и консолидированной годовой бухгалтерской отчетности бюджетных учреждений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муниципального образования «Муниципальный округ Можгинский район Удмуртской Республики»  за 2022 год (далее - Отчетность) и ее соответствие требованиям действующего бюджетного законодательства.</w:t>
      </w:r>
      <w:proofErr w:type="gramEnd"/>
      <w:r w:rsidRPr="003256C0">
        <w:rPr>
          <w:rFonts w:ascii="Times New Roman" w:hAnsi="Times New Roman"/>
          <w:b w:val="0"/>
          <w:sz w:val="22"/>
          <w:szCs w:val="22"/>
        </w:rPr>
        <w:t xml:space="preserve"> В ходе внешней проверки Отчетности анализируется  состав и содержание форм Отчетности, своевременность и полнота ее представления; с</w:t>
      </w:r>
      <w:r w:rsidRPr="003256C0">
        <w:rPr>
          <w:rFonts w:ascii="Times New Roman" w:hAnsi="Times New Roman"/>
          <w:b w:val="0"/>
          <w:bCs w:val="0"/>
          <w:sz w:val="22"/>
          <w:szCs w:val="22"/>
        </w:rPr>
        <w:t xml:space="preserve">огласованность взаимосвязанных показателей отдельных форм Отчетности, представленных главными распорядителями средств бюджета, </w:t>
      </w:r>
      <w:r w:rsidRPr="003256C0">
        <w:rPr>
          <w:rFonts w:ascii="Times New Roman" w:hAnsi="Times New Roman"/>
          <w:b w:val="0"/>
          <w:sz w:val="22"/>
          <w:szCs w:val="22"/>
        </w:rPr>
        <w:t>главными администраторами доходов бюджета, главными администраторами источников финансирования дефицита бюджета</w:t>
      </w:r>
      <w:r w:rsidRPr="003256C0">
        <w:rPr>
          <w:rFonts w:ascii="Times New Roman" w:hAnsi="Times New Roman"/>
          <w:b w:val="0"/>
          <w:bCs w:val="0"/>
          <w:sz w:val="22"/>
          <w:szCs w:val="22"/>
        </w:rPr>
        <w:t xml:space="preserve"> (далее - ГРБС); анализ и оценка форм О</w:t>
      </w:r>
      <w:r w:rsidRPr="003256C0">
        <w:rPr>
          <w:rFonts w:ascii="Times New Roman" w:hAnsi="Times New Roman"/>
          <w:b w:val="0"/>
          <w:sz w:val="22"/>
          <w:szCs w:val="22"/>
        </w:rPr>
        <w:t>тчетности; а</w:t>
      </w:r>
      <w:r w:rsidRPr="003256C0">
        <w:rPr>
          <w:rFonts w:ascii="Times New Roman" w:hAnsi="Times New Roman"/>
          <w:b w:val="0"/>
          <w:bCs w:val="0"/>
          <w:sz w:val="22"/>
          <w:szCs w:val="22"/>
        </w:rPr>
        <w:t>нализ кредиторской и дебиторской задолженности.</w:t>
      </w:r>
    </w:p>
    <w:p w:rsidR="003256C0" w:rsidRPr="003256C0" w:rsidRDefault="003256C0" w:rsidP="003256C0">
      <w:pPr>
        <w:pStyle w:val="af0"/>
        <w:ind w:left="-851" w:right="142" w:firstLine="851"/>
        <w:jc w:val="both"/>
        <w:rPr>
          <w:rFonts w:ascii="Times New Roman" w:hAnsi="Times New Roman"/>
          <w:b w:val="0"/>
          <w:i/>
          <w:sz w:val="22"/>
          <w:szCs w:val="22"/>
        </w:rPr>
      </w:pPr>
      <w:proofErr w:type="gramStart"/>
      <w:r w:rsidRPr="003256C0">
        <w:rPr>
          <w:rFonts w:ascii="Times New Roman" w:hAnsi="Times New Roman"/>
          <w:b w:val="0"/>
          <w:i/>
          <w:sz w:val="22"/>
          <w:szCs w:val="22"/>
        </w:rPr>
        <w:t xml:space="preserve">Предметами контрольного мероприятия  являются: </w:t>
      </w:r>
      <w:r w:rsidRPr="003256C0">
        <w:rPr>
          <w:rFonts w:ascii="Times New Roman" w:hAnsi="Times New Roman"/>
          <w:b w:val="0"/>
          <w:sz w:val="22"/>
          <w:szCs w:val="22"/>
        </w:rPr>
        <w:t>годовая бюджетная отчетность и консолидированная годовая бухгалтерская отчетность бюджетных учреждений, представленная в соответствии с требованиями статьи 264.1 БК РФ, Положение о бюджетном процессе в муниципальном образовании «Муниципальный округ Можгинский район Удмуртской Республики», утвержденное решением Совета депутатов от 15 ноября 2021 года № 3.16  (далее – Положение о бюджетном процессе);</w:t>
      </w:r>
      <w:proofErr w:type="gramEnd"/>
      <w:r w:rsidRPr="003256C0">
        <w:rPr>
          <w:rFonts w:ascii="Times New Roman" w:hAnsi="Times New Roman"/>
          <w:b w:val="0"/>
          <w:sz w:val="22"/>
          <w:szCs w:val="22"/>
        </w:rPr>
        <w:t xml:space="preserve"> </w:t>
      </w:r>
      <w:proofErr w:type="gramStart"/>
      <w:r w:rsidRPr="003256C0">
        <w:rPr>
          <w:rFonts w:ascii="Times New Roman" w:hAnsi="Times New Roman"/>
          <w:b w:val="0"/>
          <w:sz w:val="22"/>
          <w:szCs w:val="22"/>
        </w:rPr>
        <w:t xml:space="preserve">главные книги ГРБС;  сводные бюджетные росписи, в </w:t>
      </w:r>
      <w:proofErr w:type="spellStart"/>
      <w:r w:rsidRPr="003256C0">
        <w:rPr>
          <w:rFonts w:ascii="Times New Roman" w:hAnsi="Times New Roman"/>
          <w:b w:val="0"/>
          <w:sz w:val="22"/>
          <w:szCs w:val="22"/>
        </w:rPr>
        <w:t>т.ч</w:t>
      </w:r>
      <w:proofErr w:type="spellEnd"/>
      <w:r w:rsidRPr="003256C0">
        <w:rPr>
          <w:rFonts w:ascii="Times New Roman" w:hAnsi="Times New Roman"/>
          <w:b w:val="0"/>
          <w:sz w:val="22"/>
          <w:szCs w:val="22"/>
        </w:rPr>
        <w:t xml:space="preserve">. уточненные; регистры бюджетного (бухгалтерского) учета; материалы инвентаризаций; муниципальные правовые акты, распорядительные и иные документы, материалы, регулирующие вопросы предоставления и составления Отчетности. </w:t>
      </w:r>
      <w:proofErr w:type="gramEnd"/>
    </w:p>
    <w:p w:rsidR="003256C0" w:rsidRDefault="003256C0" w:rsidP="003256C0">
      <w:pPr>
        <w:spacing w:after="0" w:line="240" w:lineRule="auto"/>
        <w:ind w:left="-851" w:right="142" w:firstLine="851"/>
        <w:jc w:val="both"/>
        <w:rPr>
          <w:rFonts w:ascii="Times New Roman" w:hAnsi="Times New Roman" w:cs="Times New Roman"/>
          <w:i/>
        </w:rPr>
      </w:pPr>
      <w:r w:rsidRPr="003256C0">
        <w:rPr>
          <w:rFonts w:ascii="Times New Roman" w:hAnsi="Times New Roman" w:cs="Times New Roman"/>
          <w:i/>
        </w:rPr>
        <w:lastRenderedPageBreak/>
        <w:t>Объекты контрольного мероприятия</w:t>
      </w:r>
      <w:r w:rsidRPr="003256C0">
        <w:rPr>
          <w:rFonts w:ascii="Times New Roman" w:hAnsi="Times New Roman" w:cs="Times New Roman"/>
        </w:rPr>
        <w:t xml:space="preserve">: </w:t>
      </w:r>
      <w:proofErr w:type="gramStart"/>
      <w:r w:rsidRPr="003256C0">
        <w:rPr>
          <w:rFonts w:ascii="Times New Roman" w:hAnsi="Times New Roman" w:cs="Times New Roman"/>
        </w:rPr>
        <w:t>Администрация муниципального образования «Муниципальный округ Можгинский район Удмуртской Республики»</w:t>
      </w:r>
      <w:r w:rsidR="00DC45E9">
        <w:rPr>
          <w:rFonts w:ascii="Times New Roman" w:hAnsi="Times New Roman" w:cs="Times New Roman"/>
        </w:rPr>
        <w:t>;</w:t>
      </w:r>
      <w:r w:rsidRPr="003256C0">
        <w:rPr>
          <w:rFonts w:ascii="Times New Roman" w:hAnsi="Times New Roman" w:cs="Times New Roman"/>
        </w:rPr>
        <w:t xml:space="preserve"> Совет депутатов муниципального образования «Муниципальный округ Можгинский район Удмуртской Республики»; Управление финансов муниципального образования «Муниципальный округ Можгинский район Удмуртской Республики»;  Управление образования Администрации муниципального образования «Муниципальный округ Можгинский район Удмуртской Республики»; Управление культуры, спорта и молодежи Администрации муниципального образования «Муниципальный округ Можгинский район Удмуртской Республики»;</w:t>
      </w:r>
      <w:proofErr w:type="gramEnd"/>
      <w:r w:rsidRPr="003256C0">
        <w:rPr>
          <w:rFonts w:ascii="Times New Roman" w:hAnsi="Times New Roman" w:cs="Times New Roman"/>
        </w:rPr>
        <w:t xml:space="preserve"> муниципальное казенное учреждение  «Единая дежурно-диспетчерская служба»; муниципальное казенное учреждение «Централизованная бухгалтерия по обслуживанию учреждений Можгинского района», контрольно-счетный отдел</w:t>
      </w:r>
      <w:r w:rsidR="00DC45E9">
        <w:rPr>
          <w:rFonts w:ascii="Times New Roman" w:hAnsi="Times New Roman" w:cs="Times New Roman"/>
        </w:rPr>
        <w:t xml:space="preserve"> </w:t>
      </w:r>
      <w:r w:rsidR="00DC45E9" w:rsidRPr="003256C0">
        <w:rPr>
          <w:rFonts w:ascii="Times New Roman" w:hAnsi="Times New Roman" w:cs="Times New Roman"/>
        </w:rPr>
        <w:t>муниципального образования «Муниципальный округ Можгинский район Удмуртской Республики»</w:t>
      </w:r>
      <w:r w:rsidRPr="003256C0">
        <w:rPr>
          <w:rFonts w:ascii="Times New Roman" w:hAnsi="Times New Roman" w:cs="Times New Roman"/>
        </w:rPr>
        <w:t xml:space="preserve">. </w:t>
      </w:r>
    </w:p>
    <w:p w:rsidR="003256C0" w:rsidRPr="003256C0" w:rsidRDefault="003256C0" w:rsidP="003256C0">
      <w:pPr>
        <w:pStyle w:val="a5"/>
        <w:ind w:left="1064" w:firstLine="0"/>
        <w:jc w:val="center"/>
        <w:rPr>
          <w:b/>
          <w:i/>
          <w:sz w:val="22"/>
          <w:szCs w:val="22"/>
        </w:rPr>
      </w:pPr>
      <w:r w:rsidRPr="003256C0">
        <w:rPr>
          <w:b/>
          <w:i/>
          <w:sz w:val="22"/>
          <w:szCs w:val="22"/>
        </w:rPr>
        <w:t>По результатам внешней проверки  Отчетности установлено:</w:t>
      </w:r>
    </w:p>
    <w:p w:rsidR="003256C0" w:rsidRPr="003256C0" w:rsidRDefault="003256C0" w:rsidP="003256C0">
      <w:pPr>
        <w:spacing w:after="0" w:line="240" w:lineRule="auto"/>
        <w:ind w:left="-851" w:right="142" w:firstLine="851"/>
        <w:jc w:val="both"/>
        <w:rPr>
          <w:rFonts w:ascii="Times New Roman" w:hAnsi="Times New Roman" w:cs="Times New Roman"/>
          <w:i/>
        </w:rPr>
      </w:pPr>
    </w:p>
    <w:p w:rsidR="003256C0" w:rsidRPr="003256C0" w:rsidRDefault="003256C0" w:rsidP="003256C0">
      <w:pPr>
        <w:autoSpaceDE w:val="0"/>
        <w:autoSpaceDN w:val="0"/>
        <w:adjustRightInd w:val="0"/>
        <w:spacing w:after="0" w:line="240" w:lineRule="auto"/>
        <w:ind w:left="-851" w:right="142" w:firstLine="851"/>
        <w:jc w:val="both"/>
        <w:rPr>
          <w:rFonts w:ascii="Times New Roman" w:hAnsi="Times New Roman" w:cs="Times New Roman"/>
          <w:szCs w:val="28"/>
        </w:rPr>
      </w:pPr>
      <w:r>
        <w:rPr>
          <w:rFonts w:ascii="Times New Roman" w:hAnsi="Times New Roman" w:cs="Times New Roman"/>
          <w:szCs w:val="28"/>
        </w:rPr>
        <w:t xml:space="preserve">1. </w:t>
      </w:r>
      <w:r w:rsidRPr="003256C0">
        <w:rPr>
          <w:rFonts w:ascii="Times New Roman" w:hAnsi="Times New Roman" w:cs="Times New Roman"/>
          <w:szCs w:val="28"/>
        </w:rPr>
        <w:t>В силу пункта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256C0" w:rsidRPr="003256C0" w:rsidRDefault="003256C0" w:rsidP="003256C0">
      <w:pPr>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2</w:t>
      </w:r>
      <w:r w:rsidRPr="003256C0">
        <w:rPr>
          <w:rFonts w:ascii="Times New Roman" w:hAnsi="Times New Roman" w:cs="Times New Roman"/>
        </w:rPr>
        <w:t>.</w:t>
      </w:r>
      <w:r w:rsidRPr="003256C0">
        <w:rPr>
          <w:rFonts w:ascii="Times New Roman" w:hAnsi="Times New Roman" w:cs="Times New Roman"/>
          <w:b/>
        </w:rPr>
        <w:t xml:space="preserve"> </w:t>
      </w:r>
      <w:r w:rsidRPr="003256C0">
        <w:rPr>
          <w:rFonts w:ascii="Times New Roman" w:hAnsi="Times New Roman" w:cs="Times New Roman"/>
        </w:rPr>
        <w:t xml:space="preserve"> По результатам годовой бюджетной отчетности и консолидированной годовой бухгалтерской отчетности бюджетных учреждений за 2022 год, можно  сделать следующие основные выводы:</w:t>
      </w:r>
    </w:p>
    <w:p w:rsidR="003256C0" w:rsidRPr="003256C0" w:rsidRDefault="003256C0" w:rsidP="003256C0">
      <w:pPr>
        <w:spacing w:after="0" w:line="240" w:lineRule="auto"/>
        <w:ind w:left="-851" w:right="141" w:firstLine="851"/>
        <w:jc w:val="both"/>
        <w:rPr>
          <w:rFonts w:ascii="Times New Roman" w:hAnsi="Times New Roman" w:cs="Times New Roman"/>
        </w:rPr>
      </w:pPr>
      <w:proofErr w:type="gramStart"/>
      <w:r w:rsidRPr="003256C0">
        <w:rPr>
          <w:rFonts w:ascii="Times New Roman" w:hAnsi="Times New Roman" w:cs="Times New Roman"/>
        </w:rPr>
        <w:t xml:space="preserve">- в соответствие со статьей 264.3 БК РФ,  Инструкциями № 191н и  № 33н, </w:t>
      </w:r>
      <w:r w:rsidRPr="003256C0">
        <w:rPr>
          <w:rFonts w:ascii="Times New Roman" w:hAnsi="Times New Roman" w:cs="Times New Roman"/>
          <w:bCs/>
        </w:rPr>
        <w:t xml:space="preserve"> на основании приказа Управления финансов от 20.12.2022г. № 70  «О сроках представления годовой бюджетной отчетности и консолидированной  годовой бухгалтерской отчетности бюджетных учреждений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муниципального образования «Муниципальный округ Можгинский район Удмуртской Республики» </w:t>
      </w:r>
      <w:r w:rsidRPr="003256C0">
        <w:rPr>
          <w:rFonts w:ascii="Times New Roman" w:hAnsi="Times New Roman" w:cs="Times New Roman"/>
        </w:rPr>
        <w:t xml:space="preserve"> </w:t>
      </w:r>
      <w:r w:rsidRPr="003256C0">
        <w:rPr>
          <w:rFonts w:ascii="Times New Roman" w:hAnsi="Times New Roman" w:cs="Times New Roman"/>
          <w:bCs/>
        </w:rPr>
        <w:t>за 2022 год» О</w:t>
      </w:r>
      <w:r w:rsidRPr="003256C0">
        <w:rPr>
          <w:rFonts w:ascii="Times New Roman" w:hAnsi="Times New Roman" w:cs="Times New Roman"/>
        </w:rPr>
        <w:t xml:space="preserve">тчетность </w:t>
      </w:r>
      <w:r w:rsidRPr="003256C0">
        <w:rPr>
          <w:rFonts w:ascii="Times New Roman" w:hAnsi="Times New Roman" w:cs="Times New Roman"/>
          <w:bCs/>
        </w:rPr>
        <w:t xml:space="preserve"> </w:t>
      </w:r>
      <w:r w:rsidRPr="003256C0">
        <w:rPr>
          <w:rFonts w:ascii="Times New Roman" w:hAnsi="Times New Roman" w:cs="Times New Roman"/>
        </w:rPr>
        <w:t>в</w:t>
      </w:r>
      <w:proofErr w:type="gramEnd"/>
      <w:r w:rsidRPr="003256C0">
        <w:rPr>
          <w:rFonts w:ascii="Times New Roman" w:hAnsi="Times New Roman" w:cs="Times New Roman"/>
        </w:rPr>
        <w:t xml:space="preserve"> электронном виде в программном комплексе «Смарт-свод» и на бумажном носителе  </w:t>
      </w:r>
      <w:proofErr w:type="gramStart"/>
      <w:r w:rsidRPr="003256C0">
        <w:rPr>
          <w:rFonts w:ascii="Times New Roman" w:hAnsi="Times New Roman" w:cs="Times New Roman"/>
          <w:color w:val="000000"/>
        </w:rPr>
        <w:t>представлена</w:t>
      </w:r>
      <w:proofErr w:type="gramEnd"/>
      <w:r w:rsidRPr="003256C0">
        <w:rPr>
          <w:rFonts w:ascii="Times New Roman" w:hAnsi="Times New Roman" w:cs="Times New Roman"/>
          <w:color w:val="000000"/>
        </w:rPr>
        <w:t xml:space="preserve">  в Управление финансов</w:t>
      </w:r>
      <w:r w:rsidRPr="003256C0">
        <w:rPr>
          <w:rFonts w:ascii="Times New Roman" w:hAnsi="Times New Roman" w:cs="Times New Roman"/>
        </w:rPr>
        <w:t xml:space="preserve"> в установленные сроки;</w:t>
      </w:r>
    </w:p>
    <w:p w:rsidR="003256C0" w:rsidRPr="003256C0" w:rsidRDefault="003256C0" w:rsidP="003256C0">
      <w:pPr>
        <w:autoSpaceDE w:val="0"/>
        <w:autoSpaceDN w:val="0"/>
        <w:adjustRightInd w:val="0"/>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 xml:space="preserve">- Отчетность представлена ГРБС в контрольно-счетный отдел в срок, установленный  частью 2 статьи 21 Положения о бюджетном процессе, за исключением отчетности Управления культуры, спорта и молодежи, которые представили Отчетность  23 марта 2022г. Представленная в контрольно-счетный отдел на бумажном носителе Отчетность подписана руководителем и главным бухгалтером учреждения,   в соответствие с  требованиями  пункта 6  Инструкции № 33н, пункта 4 Инструкции № 191н направлена с сопроводительным листом; </w:t>
      </w:r>
    </w:p>
    <w:p w:rsidR="003256C0" w:rsidRPr="003256C0" w:rsidRDefault="003256C0" w:rsidP="003256C0">
      <w:pPr>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 при выборочной  сверке контрольных соотношений взаимосвязанных показателей между формами Отчетности расхождений не выявлено;</w:t>
      </w:r>
    </w:p>
    <w:p w:rsidR="003256C0" w:rsidRPr="003256C0" w:rsidRDefault="003256C0" w:rsidP="003256C0">
      <w:pPr>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 xml:space="preserve">- выборочно проведена проверка логической и арифметической увязки показателей между формами Отчетности, нарушений не </w:t>
      </w:r>
      <w:r>
        <w:rPr>
          <w:rFonts w:ascii="Times New Roman" w:hAnsi="Times New Roman" w:cs="Times New Roman"/>
        </w:rPr>
        <w:t>установлено</w:t>
      </w:r>
      <w:r w:rsidRPr="003256C0">
        <w:rPr>
          <w:rFonts w:ascii="Times New Roman" w:hAnsi="Times New Roman" w:cs="Times New Roman"/>
        </w:rPr>
        <w:t>;</w:t>
      </w:r>
    </w:p>
    <w:p w:rsidR="003256C0" w:rsidRPr="003256C0" w:rsidRDefault="003256C0" w:rsidP="003256C0">
      <w:pPr>
        <w:pStyle w:val="a9"/>
        <w:tabs>
          <w:tab w:val="left" w:pos="-426"/>
        </w:tabs>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 xml:space="preserve">- Отчетность составлена на основании данных главных книг и регистров бюджетного учета. В ходе внешней проверки сверены показатели  форм Отчетности ф. 0503130, ф. 0503730 с показателями главной книги по всем ГРБС,  искажения бюджетной отчетности не установлены. В нарушение пункта 12 Инструкции № 191н, пункта 13 Инструкции № 33н  по всем </w:t>
      </w:r>
      <w:r w:rsidR="00F52A77">
        <w:rPr>
          <w:rFonts w:ascii="Times New Roman" w:hAnsi="Times New Roman" w:cs="Times New Roman"/>
        </w:rPr>
        <w:t>ГРБС</w:t>
      </w:r>
      <w:r w:rsidRPr="003256C0">
        <w:rPr>
          <w:rFonts w:ascii="Times New Roman" w:hAnsi="Times New Roman" w:cs="Times New Roman"/>
        </w:rPr>
        <w:t xml:space="preserve"> в кодовой зоне заголовочной части </w:t>
      </w:r>
      <w:hyperlink r:id="rId8" w:history="1">
        <w:r w:rsidRPr="003256C0">
          <w:rPr>
            <w:rFonts w:ascii="Times New Roman" w:hAnsi="Times New Roman" w:cs="Times New Roman"/>
          </w:rPr>
          <w:t>Баланса</w:t>
        </w:r>
      </w:hyperlink>
      <w:r w:rsidRPr="003256C0">
        <w:rPr>
          <w:rFonts w:ascii="Times New Roman" w:hAnsi="Times New Roman" w:cs="Times New Roman"/>
        </w:rPr>
        <w:t xml:space="preserve">  ф. 0503130, ф. 0503730 не указан код </w:t>
      </w:r>
      <w:hyperlink r:id="rId9" w:history="1">
        <w:r w:rsidRPr="003256C0">
          <w:rPr>
            <w:rFonts w:ascii="Times New Roman" w:hAnsi="Times New Roman" w:cs="Times New Roman"/>
          </w:rPr>
          <w:t>ОКВЭД</w:t>
        </w:r>
      </w:hyperlink>
      <w:r w:rsidRPr="003256C0">
        <w:rPr>
          <w:rFonts w:ascii="Times New Roman" w:hAnsi="Times New Roman" w:cs="Times New Roman"/>
        </w:rPr>
        <w:t xml:space="preserve"> по основному виду деятельности;</w:t>
      </w:r>
    </w:p>
    <w:p w:rsidR="003256C0" w:rsidRDefault="003256C0" w:rsidP="003256C0">
      <w:pPr>
        <w:tabs>
          <w:tab w:val="left" w:pos="1134"/>
          <w:tab w:val="left" w:pos="1276"/>
        </w:tabs>
        <w:autoSpaceDE w:val="0"/>
        <w:autoSpaceDN w:val="0"/>
        <w:adjustRightInd w:val="0"/>
        <w:spacing w:after="0" w:line="240" w:lineRule="auto"/>
        <w:ind w:left="-851" w:right="141" w:firstLine="851"/>
        <w:contextualSpacing/>
        <w:jc w:val="both"/>
        <w:rPr>
          <w:rFonts w:ascii="Times New Roman" w:hAnsi="Times New Roman" w:cs="Times New Roman"/>
        </w:rPr>
      </w:pPr>
      <w:r w:rsidRPr="003256C0">
        <w:rPr>
          <w:rFonts w:ascii="Times New Roman" w:hAnsi="Times New Roman" w:cs="Times New Roman"/>
        </w:rPr>
        <w:t>- несоответствий содержания форм Отчетности требованиям Инструкций № 191н,  № 33н не выявлено, наличие фактов негативно влияющих на достоверность  показателей отчетности не установлено. Годовая отчетность, представленная ГРБС,  признана  полной и достоверной.</w:t>
      </w:r>
    </w:p>
    <w:p w:rsidR="003256C0" w:rsidRPr="003256C0" w:rsidRDefault="003256C0" w:rsidP="003256C0">
      <w:pPr>
        <w:tabs>
          <w:tab w:val="left" w:pos="-3402"/>
          <w:tab w:val="left" w:pos="-3119"/>
          <w:tab w:val="left" w:pos="-426"/>
        </w:tabs>
        <w:autoSpaceDE w:val="0"/>
        <w:autoSpaceDN w:val="0"/>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Сверкой данных  отчета ф. 0503127 с данными отчета ф. 0503324общ. об использовании межбюджетных трансфертов, предоставляемых  из бюджета Удмуртской Республики, муниципальными образованиями, выявлены расхождения</w:t>
      </w:r>
      <w:r w:rsidRPr="003256C0">
        <w:rPr>
          <w:rFonts w:ascii="Times New Roman" w:hAnsi="Times New Roman" w:cs="Times New Roman"/>
          <w:i/>
        </w:rPr>
        <w:t xml:space="preserve"> </w:t>
      </w:r>
      <w:r w:rsidRPr="003256C0">
        <w:rPr>
          <w:rFonts w:ascii="Times New Roman" w:hAnsi="Times New Roman" w:cs="Times New Roman"/>
        </w:rPr>
        <w:t>в  наименовании межбюджетных трансфертов по Администрации района.</w:t>
      </w:r>
    </w:p>
    <w:p w:rsidR="003256C0" w:rsidRDefault="003256C0" w:rsidP="003256C0">
      <w:pPr>
        <w:pStyle w:val="a9"/>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Выборочная проверка контрольных соотношений взаимосвязанных показателей между формами бюджетной отчетности Управления финансов: Баланс (ф.0503320), Отчет о финансовых результатах деятельности (ф. 0503321), Отчет об исполнении бюджета (ф. 0503317), Справка по заключению счетов бюджетного учета отчетного финансового года (ф.0503110), подтвердила правильность составления, достоверность и сбалансированность представленных Отчетов.</w:t>
      </w:r>
    </w:p>
    <w:p w:rsidR="00083D54" w:rsidRPr="00083D54" w:rsidRDefault="00083D54" w:rsidP="00083D54">
      <w:pPr>
        <w:spacing w:after="0" w:line="240" w:lineRule="auto"/>
        <w:ind w:left="-851" w:right="142" w:firstLine="851"/>
        <w:jc w:val="both"/>
        <w:rPr>
          <w:rFonts w:ascii="Times New Roman" w:hAnsi="Times New Roman" w:cs="Times New Roman"/>
        </w:rPr>
      </w:pPr>
      <w:proofErr w:type="gramStart"/>
      <w:r w:rsidRPr="00083D54">
        <w:rPr>
          <w:rFonts w:ascii="Times New Roman" w:hAnsi="Times New Roman" w:cs="Times New Roman"/>
        </w:rPr>
        <w:t>В соответствии со статьей 13 Федерального закона № 402-ФЗ представленный Управлением финансов годовой отчет об исполнении  консолидированного бюджета Можгинского района за 2022 год позволяет проанализировать результаты финансово-хозяйственной деятельности муниципального образования «Муниципальный округ Можгинский район Удмуртской Республики», т.к. Отчетность составлена в соответствии с требованиями БК РФ и по формам, предусмотренным Инструкцией № 191н.</w:t>
      </w:r>
      <w:proofErr w:type="gramEnd"/>
    </w:p>
    <w:p w:rsidR="003256C0" w:rsidRPr="003256C0" w:rsidRDefault="003256C0" w:rsidP="003256C0">
      <w:pPr>
        <w:tabs>
          <w:tab w:val="left" w:pos="-3402"/>
          <w:tab w:val="left" w:pos="-3119"/>
          <w:tab w:val="left" w:pos="-426"/>
        </w:tabs>
        <w:autoSpaceDE w:val="0"/>
        <w:autoSpaceDN w:val="0"/>
        <w:spacing w:after="0" w:line="240" w:lineRule="auto"/>
        <w:ind w:left="-851" w:right="141" w:firstLine="851"/>
        <w:jc w:val="both"/>
        <w:rPr>
          <w:rFonts w:ascii="Times New Roman" w:hAnsi="Times New Roman" w:cs="Times New Roman"/>
        </w:rPr>
      </w:pPr>
      <w:proofErr w:type="gramStart"/>
      <w:r w:rsidRPr="003256C0">
        <w:rPr>
          <w:rFonts w:ascii="Times New Roman" w:hAnsi="Times New Roman" w:cs="Times New Roman"/>
        </w:rPr>
        <w:lastRenderedPageBreak/>
        <w:t>При проведении анализа пояснительных записок выявлено, что п</w:t>
      </w:r>
      <w:r w:rsidRPr="003256C0">
        <w:rPr>
          <w:rFonts w:ascii="Times New Roman" w:hAnsi="Times New Roman" w:cs="Times New Roman"/>
          <w:bCs/>
        </w:rPr>
        <w:t>ояснительные записки</w:t>
      </w:r>
      <w:r w:rsidRPr="003256C0">
        <w:rPr>
          <w:rFonts w:ascii="Times New Roman" w:hAnsi="Times New Roman" w:cs="Times New Roman"/>
        </w:rPr>
        <w:t xml:space="preserve"> ф. 0503160, ф. 0503760 представлены ГРБС  в основном по формам, предусмотренными Инструкциями № 191н, № 33н и раскрывают структуру и порядок формирования отдельных показателей, отраженных в Отчетности, но имеются  некоторые нарушения и  замечания,  которые существенно не повлияли на отчетность, но которые следует учесть при их заполнении.</w:t>
      </w:r>
      <w:proofErr w:type="gramEnd"/>
      <w:r w:rsidRPr="003256C0">
        <w:rPr>
          <w:rFonts w:ascii="Times New Roman" w:hAnsi="Times New Roman" w:cs="Times New Roman"/>
        </w:rPr>
        <w:t xml:space="preserve"> Не должным образом заполнены пояснительные записки по Администрации района, МКУ «ЕДДС», </w:t>
      </w:r>
      <w:r>
        <w:rPr>
          <w:rFonts w:ascii="Times New Roman" w:hAnsi="Times New Roman" w:cs="Times New Roman"/>
        </w:rPr>
        <w:t>Совету депутатов</w:t>
      </w:r>
      <w:r w:rsidRPr="003256C0">
        <w:rPr>
          <w:rFonts w:ascii="Times New Roman" w:hAnsi="Times New Roman" w:cs="Times New Roman"/>
        </w:rPr>
        <w:t xml:space="preserve">. </w:t>
      </w:r>
    </w:p>
    <w:p w:rsidR="003256C0" w:rsidRPr="003256C0" w:rsidRDefault="003256C0" w:rsidP="003256C0">
      <w:pPr>
        <w:autoSpaceDE w:val="0"/>
        <w:autoSpaceDN w:val="0"/>
        <w:adjustRightInd w:val="0"/>
        <w:spacing w:after="0" w:line="240" w:lineRule="auto"/>
        <w:ind w:left="-851" w:right="141" w:firstLine="851"/>
        <w:jc w:val="both"/>
        <w:rPr>
          <w:rFonts w:ascii="Times New Roman" w:hAnsi="Times New Roman" w:cs="Times New Roman"/>
        </w:rPr>
      </w:pPr>
      <w:r>
        <w:rPr>
          <w:rFonts w:ascii="Times New Roman" w:hAnsi="Times New Roman" w:cs="Times New Roman"/>
        </w:rPr>
        <w:t>3</w:t>
      </w:r>
      <w:r w:rsidRPr="003256C0">
        <w:rPr>
          <w:rFonts w:ascii="Times New Roman" w:hAnsi="Times New Roman" w:cs="Times New Roman"/>
        </w:rPr>
        <w:t xml:space="preserve">. </w:t>
      </w:r>
      <w:proofErr w:type="gramStart"/>
      <w:r w:rsidRPr="003256C0">
        <w:rPr>
          <w:rFonts w:ascii="Times New Roman" w:hAnsi="Times New Roman" w:cs="Times New Roman"/>
        </w:rPr>
        <w:t>В нарушение федерального стандарта внутреннего финансового аудита</w:t>
      </w:r>
      <w:bookmarkStart w:id="0" w:name="_GoBack"/>
      <w:bookmarkEnd w:id="0"/>
      <w:r w:rsidRPr="003256C0">
        <w:rPr>
          <w:rFonts w:ascii="Times New Roman" w:hAnsi="Times New Roman" w:cs="Times New Roman"/>
        </w:rPr>
        <w:t xml:space="preserve">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утвержденный приказом Министерства финансов РФ от  01.09.2021г. № 120н аудит в целях подтверждения достоверности годовой бюджетной отчетности за 2022 год не проводился в Администрации района, </w:t>
      </w:r>
      <w:r>
        <w:rPr>
          <w:rFonts w:ascii="Times New Roman" w:hAnsi="Times New Roman" w:cs="Times New Roman"/>
        </w:rPr>
        <w:t xml:space="preserve">в </w:t>
      </w:r>
      <w:r w:rsidRPr="003256C0">
        <w:rPr>
          <w:rFonts w:ascii="Times New Roman" w:hAnsi="Times New Roman" w:cs="Times New Roman"/>
        </w:rPr>
        <w:t>МКУ</w:t>
      </w:r>
      <w:proofErr w:type="gramEnd"/>
      <w:r w:rsidRPr="003256C0">
        <w:rPr>
          <w:rFonts w:ascii="Times New Roman" w:hAnsi="Times New Roman" w:cs="Times New Roman"/>
        </w:rPr>
        <w:t xml:space="preserve"> «ЕДДС»,</w:t>
      </w:r>
      <w:r>
        <w:rPr>
          <w:rFonts w:ascii="Times New Roman" w:hAnsi="Times New Roman" w:cs="Times New Roman"/>
        </w:rPr>
        <w:t xml:space="preserve"> в</w:t>
      </w:r>
      <w:r w:rsidRPr="003256C0">
        <w:rPr>
          <w:rFonts w:ascii="Times New Roman" w:hAnsi="Times New Roman" w:cs="Times New Roman"/>
        </w:rPr>
        <w:t xml:space="preserve"> Совете депутатов. </w:t>
      </w:r>
    </w:p>
    <w:p w:rsidR="003256C0" w:rsidRPr="003256C0" w:rsidRDefault="003256C0" w:rsidP="003256C0">
      <w:pPr>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3.</w:t>
      </w:r>
      <w:r w:rsidRPr="003256C0">
        <w:rPr>
          <w:rFonts w:ascii="Times New Roman" w:hAnsi="Times New Roman" w:cs="Times New Roman"/>
          <w:b/>
        </w:rPr>
        <w:t xml:space="preserve"> </w:t>
      </w:r>
      <w:proofErr w:type="gramStart"/>
      <w:r w:rsidRPr="003256C0">
        <w:rPr>
          <w:rFonts w:ascii="Times New Roman" w:hAnsi="Times New Roman" w:cs="Times New Roman"/>
        </w:rPr>
        <w:t>Дебиторская задолженность в бюджет Можгинского района по всем видам деятельности по состоянию на 01.01.2023г. составила  в сумме 3 098 489 524,79 руб., на 01.01.2022г. составляла в сумме 1 774 012 680,72 руб., т.е. задолженность увеличилась  на 1 324 473 844,07 руб.  Кредиторская  задолженность по всем видам деятельности по состоянию на 01.01.2023г. составила  в сумме 72 845</w:t>
      </w:r>
      <w:proofErr w:type="gramEnd"/>
      <w:r w:rsidRPr="003256C0">
        <w:rPr>
          <w:rFonts w:ascii="Times New Roman" w:hAnsi="Times New Roman" w:cs="Times New Roman"/>
        </w:rPr>
        <w:t xml:space="preserve"> 244,97 руб., на 01.01.2022г. составляла в сумме 71 285 362,61 руб., т.е. задолженность увеличилась  на 1 559 882,36 руб. </w:t>
      </w:r>
    </w:p>
    <w:p w:rsidR="003256C0" w:rsidRPr="003256C0" w:rsidRDefault="003256C0" w:rsidP="003256C0">
      <w:pPr>
        <w:spacing w:after="0" w:line="240" w:lineRule="auto"/>
        <w:ind w:left="-851" w:right="141" w:firstLine="851"/>
        <w:jc w:val="both"/>
        <w:rPr>
          <w:rFonts w:ascii="Times New Roman" w:hAnsi="Times New Roman" w:cs="Times New Roman"/>
        </w:rPr>
      </w:pPr>
      <w:r w:rsidRPr="003256C0">
        <w:rPr>
          <w:rFonts w:ascii="Times New Roman" w:hAnsi="Times New Roman" w:cs="Times New Roman"/>
        </w:rPr>
        <w:t xml:space="preserve">Из них по казенным учреждениям кредиторская задолженность в сумме  13 365887,64 руб., из них задолженность по налогам, пошлинам и сборам в сумме 145 707,0 руб., дебиторская задолженность в сумме 14 958 027,18 руб. </w:t>
      </w:r>
    </w:p>
    <w:p w:rsidR="00F50D10" w:rsidRPr="00DE1C36" w:rsidRDefault="00A23AAB" w:rsidP="00570E4A">
      <w:pPr>
        <w:spacing w:after="0" w:line="240" w:lineRule="auto"/>
        <w:ind w:left="-851" w:right="-284" w:firstLine="425"/>
        <w:jc w:val="both"/>
        <w:rPr>
          <w:rFonts w:ascii="Times New Roman" w:hAnsi="Times New Roman" w:cs="Times New Roman"/>
        </w:rPr>
      </w:pPr>
      <w:r w:rsidRPr="00570E4A">
        <w:rPr>
          <w:rFonts w:ascii="Times New Roman" w:hAnsi="Times New Roman" w:cs="Times New Roman"/>
          <w:i/>
        </w:rPr>
        <w:t xml:space="preserve">  </w:t>
      </w:r>
      <w:r w:rsidR="00F50D10" w:rsidRPr="00DE1C36">
        <w:rPr>
          <w:rFonts w:ascii="Times New Roman" w:hAnsi="Times New Roman" w:cs="Times New Roman"/>
        </w:rPr>
        <w:t>Представление по результатам экспертно-аналитического мероприятия не направлялось.</w:t>
      </w:r>
    </w:p>
    <w:p w:rsidR="004605E3" w:rsidRPr="00DE1C36" w:rsidRDefault="004605E3" w:rsidP="004605E3">
      <w:pPr>
        <w:spacing w:after="0" w:line="240" w:lineRule="auto"/>
        <w:ind w:left="-851"/>
        <w:rPr>
          <w:rFonts w:ascii="Times New Roman" w:hAnsi="Times New Roman" w:cs="Times New Roman"/>
        </w:rPr>
      </w:pPr>
    </w:p>
    <w:p w:rsidR="00F50D10" w:rsidRDefault="00A23AAB" w:rsidP="004605E3">
      <w:pPr>
        <w:spacing w:after="0" w:line="240" w:lineRule="auto"/>
        <w:ind w:left="-851"/>
        <w:rPr>
          <w:rFonts w:ascii="Times New Roman" w:hAnsi="Times New Roman" w:cs="Times New Roman"/>
          <w:i/>
        </w:rPr>
      </w:pPr>
      <w:r>
        <w:rPr>
          <w:rFonts w:ascii="Times New Roman" w:hAnsi="Times New Roman" w:cs="Times New Roman"/>
          <w:i/>
        </w:rPr>
        <w:t>и</w:t>
      </w:r>
      <w:r w:rsidR="00F50D10" w:rsidRPr="00F50D10">
        <w:rPr>
          <w:rFonts w:ascii="Times New Roman" w:hAnsi="Times New Roman" w:cs="Times New Roman"/>
          <w:i/>
        </w:rPr>
        <w:t xml:space="preserve">сп. </w:t>
      </w:r>
      <w:r w:rsidR="00774348">
        <w:rPr>
          <w:rFonts w:ascii="Times New Roman" w:hAnsi="Times New Roman" w:cs="Times New Roman"/>
          <w:i/>
        </w:rPr>
        <w:t>председатель</w:t>
      </w:r>
      <w:r w:rsidR="00F50D10">
        <w:rPr>
          <w:rFonts w:ascii="Times New Roman" w:hAnsi="Times New Roman" w:cs="Times New Roman"/>
          <w:i/>
        </w:rPr>
        <w:t xml:space="preserve"> </w:t>
      </w:r>
      <w:r w:rsidR="00F50D10" w:rsidRPr="00F50D10">
        <w:rPr>
          <w:rFonts w:ascii="Times New Roman" w:hAnsi="Times New Roman" w:cs="Times New Roman"/>
          <w:i/>
        </w:rPr>
        <w:t xml:space="preserve"> КСО </w:t>
      </w:r>
      <w:r w:rsidR="00774348">
        <w:rPr>
          <w:rFonts w:ascii="Times New Roman" w:hAnsi="Times New Roman" w:cs="Times New Roman"/>
          <w:i/>
        </w:rPr>
        <w:t>Т</w:t>
      </w:r>
      <w:r w:rsidR="00F50D10" w:rsidRPr="00F50D10">
        <w:rPr>
          <w:rFonts w:ascii="Times New Roman" w:hAnsi="Times New Roman" w:cs="Times New Roman"/>
          <w:i/>
        </w:rPr>
        <w:t>.</w:t>
      </w:r>
      <w:r w:rsidR="00774348">
        <w:rPr>
          <w:rFonts w:ascii="Times New Roman" w:hAnsi="Times New Roman" w:cs="Times New Roman"/>
          <w:i/>
        </w:rPr>
        <w:t>А</w:t>
      </w:r>
      <w:r w:rsidR="00F50D10" w:rsidRPr="00F50D10">
        <w:rPr>
          <w:rFonts w:ascii="Times New Roman" w:hAnsi="Times New Roman" w:cs="Times New Roman"/>
          <w:i/>
        </w:rPr>
        <w:t>.</w:t>
      </w:r>
      <w:r w:rsidR="00774348">
        <w:rPr>
          <w:rFonts w:ascii="Times New Roman" w:hAnsi="Times New Roman" w:cs="Times New Roman"/>
          <w:i/>
        </w:rPr>
        <w:t xml:space="preserve"> Пантелеева</w:t>
      </w:r>
      <w:r w:rsidR="00F50D10" w:rsidRPr="00F50D10">
        <w:rPr>
          <w:rFonts w:ascii="Times New Roman" w:hAnsi="Times New Roman" w:cs="Times New Roman"/>
          <w:i/>
        </w:rPr>
        <w:t>.</w:t>
      </w:r>
    </w:p>
    <w:p w:rsidR="00CA2C34" w:rsidRPr="00F50D10" w:rsidRDefault="003256C0" w:rsidP="004605E3">
      <w:pPr>
        <w:spacing w:after="0" w:line="240" w:lineRule="auto"/>
        <w:ind w:left="-851"/>
        <w:rPr>
          <w:rFonts w:ascii="Times New Roman" w:hAnsi="Times New Roman" w:cs="Times New Roman"/>
          <w:i/>
        </w:rPr>
      </w:pPr>
      <w:r>
        <w:rPr>
          <w:rFonts w:ascii="Times New Roman" w:hAnsi="Times New Roman" w:cs="Times New Roman"/>
          <w:i/>
        </w:rPr>
        <w:t>14</w:t>
      </w:r>
      <w:r w:rsidR="00CA2C34">
        <w:rPr>
          <w:rFonts w:ascii="Times New Roman" w:hAnsi="Times New Roman" w:cs="Times New Roman"/>
          <w:i/>
        </w:rPr>
        <w:t>.0</w:t>
      </w:r>
      <w:r>
        <w:rPr>
          <w:rFonts w:ascii="Times New Roman" w:hAnsi="Times New Roman" w:cs="Times New Roman"/>
          <w:i/>
        </w:rPr>
        <w:t>3</w:t>
      </w:r>
      <w:r w:rsidR="00CA2C34">
        <w:rPr>
          <w:rFonts w:ascii="Times New Roman" w:hAnsi="Times New Roman" w:cs="Times New Roman"/>
          <w:i/>
        </w:rPr>
        <w:t>.20</w:t>
      </w:r>
      <w:r w:rsidR="007A3A4A">
        <w:rPr>
          <w:rFonts w:ascii="Times New Roman" w:hAnsi="Times New Roman" w:cs="Times New Roman"/>
          <w:i/>
        </w:rPr>
        <w:t>2</w:t>
      </w:r>
      <w:r w:rsidR="0079021A">
        <w:rPr>
          <w:rFonts w:ascii="Times New Roman" w:hAnsi="Times New Roman" w:cs="Times New Roman"/>
          <w:i/>
        </w:rPr>
        <w:t>3</w:t>
      </w:r>
      <w:r w:rsidR="00CA2C34">
        <w:rPr>
          <w:rFonts w:ascii="Times New Roman" w:hAnsi="Times New Roman" w:cs="Times New Roman"/>
          <w:i/>
        </w:rPr>
        <w:t>г.</w:t>
      </w:r>
    </w:p>
    <w:sectPr w:rsidR="00CA2C34" w:rsidRPr="00F50D10" w:rsidSect="00C86957">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426"/>
    <w:multiLevelType w:val="hybridMultilevel"/>
    <w:tmpl w:val="9A46F6CA"/>
    <w:lvl w:ilvl="0" w:tplc="6918282C">
      <w:start w:val="1"/>
      <w:numFmt w:val="decimal"/>
      <w:lvlText w:val="%1."/>
      <w:lvlJc w:val="left"/>
      <w:pPr>
        <w:ind w:left="519" w:hanging="600"/>
      </w:pPr>
      <w:rPr>
        <w:rFonts w:hint="default"/>
      </w:rPr>
    </w:lvl>
    <w:lvl w:ilvl="1" w:tplc="04190019" w:tentative="1">
      <w:start w:val="1"/>
      <w:numFmt w:val="lowerLetter"/>
      <w:lvlText w:val="%2."/>
      <w:lvlJc w:val="left"/>
      <w:pPr>
        <w:ind w:left="999" w:hanging="360"/>
      </w:pPr>
    </w:lvl>
    <w:lvl w:ilvl="2" w:tplc="0419001B" w:tentative="1">
      <w:start w:val="1"/>
      <w:numFmt w:val="lowerRoman"/>
      <w:lvlText w:val="%3."/>
      <w:lvlJc w:val="right"/>
      <w:pPr>
        <w:ind w:left="1719" w:hanging="180"/>
      </w:pPr>
    </w:lvl>
    <w:lvl w:ilvl="3" w:tplc="0419000F" w:tentative="1">
      <w:start w:val="1"/>
      <w:numFmt w:val="decimal"/>
      <w:lvlText w:val="%4."/>
      <w:lvlJc w:val="left"/>
      <w:pPr>
        <w:ind w:left="2439" w:hanging="360"/>
      </w:pPr>
    </w:lvl>
    <w:lvl w:ilvl="4" w:tplc="04190019" w:tentative="1">
      <w:start w:val="1"/>
      <w:numFmt w:val="lowerLetter"/>
      <w:lvlText w:val="%5."/>
      <w:lvlJc w:val="left"/>
      <w:pPr>
        <w:ind w:left="3159" w:hanging="360"/>
      </w:pPr>
    </w:lvl>
    <w:lvl w:ilvl="5" w:tplc="0419001B" w:tentative="1">
      <w:start w:val="1"/>
      <w:numFmt w:val="lowerRoman"/>
      <w:lvlText w:val="%6."/>
      <w:lvlJc w:val="right"/>
      <w:pPr>
        <w:ind w:left="3879" w:hanging="180"/>
      </w:pPr>
    </w:lvl>
    <w:lvl w:ilvl="6" w:tplc="0419000F" w:tentative="1">
      <w:start w:val="1"/>
      <w:numFmt w:val="decimal"/>
      <w:lvlText w:val="%7."/>
      <w:lvlJc w:val="left"/>
      <w:pPr>
        <w:ind w:left="4599" w:hanging="360"/>
      </w:pPr>
    </w:lvl>
    <w:lvl w:ilvl="7" w:tplc="04190019" w:tentative="1">
      <w:start w:val="1"/>
      <w:numFmt w:val="lowerLetter"/>
      <w:lvlText w:val="%8."/>
      <w:lvlJc w:val="left"/>
      <w:pPr>
        <w:ind w:left="5319" w:hanging="360"/>
      </w:pPr>
    </w:lvl>
    <w:lvl w:ilvl="8" w:tplc="0419001B" w:tentative="1">
      <w:start w:val="1"/>
      <w:numFmt w:val="lowerRoman"/>
      <w:lvlText w:val="%9."/>
      <w:lvlJc w:val="right"/>
      <w:pPr>
        <w:ind w:left="6039" w:hanging="180"/>
      </w:pPr>
    </w:lvl>
  </w:abstractNum>
  <w:abstractNum w:abstractNumId="1">
    <w:nsid w:val="418F5B10"/>
    <w:multiLevelType w:val="hybridMultilevel"/>
    <w:tmpl w:val="C2A8388A"/>
    <w:lvl w:ilvl="0" w:tplc="7F58DFAE">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7C824EAA"/>
    <w:multiLevelType w:val="hybridMultilevel"/>
    <w:tmpl w:val="D1064D6E"/>
    <w:lvl w:ilvl="0" w:tplc="E6ACED86">
      <w:start w:val="1"/>
      <w:numFmt w:val="decimal"/>
      <w:lvlText w:val="%1."/>
      <w:lvlJc w:val="left"/>
      <w:pPr>
        <w:ind w:left="291" w:hanging="360"/>
      </w:pPr>
      <w:rPr>
        <w:rFonts w:ascii="Times New Roman" w:eastAsia="Times New Roman" w:hAnsi="Times New Roman" w:cs="Times New Roman"/>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3">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2"/>
  </w:compat>
  <w:rsids>
    <w:rsidRoot w:val="00370354"/>
    <w:rsid w:val="00073CF3"/>
    <w:rsid w:val="00083D54"/>
    <w:rsid w:val="000D027D"/>
    <w:rsid w:val="00154D0F"/>
    <w:rsid w:val="001D00CF"/>
    <w:rsid w:val="00290B82"/>
    <w:rsid w:val="003256C0"/>
    <w:rsid w:val="00370354"/>
    <w:rsid w:val="00394127"/>
    <w:rsid w:val="003B5C6C"/>
    <w:rsid w:val="00423B24"/>
    <w:rsid w:val="004605E3"/>
    <w:rsid w:val="004D3F4A"/>
    <w:rsid w:val="004F49BE"/>
    <w:rsid w:val="005168E6"/>
    <w:rsid w:val="00523E6C"/>
    <w:rsid w:val="00570E4A"/>
    <w:rsid w:val="00580CEF"/>
    <w:rsid w:val="0058148E"/>
    <w:rsid w:val="00584561"/>
    <w:rsid w:val="005A6FED"/>
    <w:rsid w:val="005D59BC"/>
    <w:rsid w:val="005E2BD5"/>
    <w:rsid w:val="005E5886"/>
    <w:rsid w:val="0064716A"/>
    <w:rsid w:val="00663F3C"/>
    <w:rsid w:val="007733CF"/>
    <w:rsid w:val="00774348"/>
    <w:rsid w:val="0079021A"/>
    <w:rsid w:val="007A3A4A"/>
    <w:rsid w:val="007A4508"/>
    <w:rsid w:val="007F0DFB"/>
    <w:rsid w:val="008448F2"/>
    <w:rsid w:val="008B594E"/>
    <w:rsid w:val="00902346"/>
    <w:rsid w:val="009C789A"/>
    <w:rsid w:val="00A23AAB"/>
    <w:rsid w:val="00A51089"/>
    <w:rsid w:val="00A73209"/>
    <w:rsid w:val="00A913E1"/>
    <w:rsid w:val="00AB20A5"/>
    <w:rsid w:val="00AD40C3"/>
    <w:rsid w:val="00B16DA8"/>
    <w:rsid w:val="00B20AB6"/>
    <w:rsid w:val="00BA572D"/>
    <w:rsid w:val="00C86957"/>
    <w:rsid w:val="00CA2C34"/>
    <w:rsid w:val="00CF29FB"/>
    <w:rsid w:val="00D821B7"/>
    <w:rsid w:val="00DC45E9"/>
    <w:rsid w:val="00DE1C36"/>
    <w:rsid w:val="00E40C35"/>
    <w:rsid w:val="00E877C3"/>
    <w:rsid w:val="00E97F90"/>
    <w:rsid w:val="00F42438"/>
    <w:rsid w:val="00F50D10"/>
    <w:rsid w:val="00F52A77"/>
    <w:rsid w:val="00F61838"/>
    <w:rsid w:val="00F64EA4"/>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354"/>
    <w:rPr>
      <w:rFonts w:ascii="Tahoma" w:hAnsi="Tahoma" w:cs="Tahoma"/>
      <w:sz w:val="16"/>
      <w:szCs w:val="16"/>
    </w:rPr>
  </w:style>
  <w:style w:type="paragraph" w:styleId="a5">
    <w:name w:val="Body Text Indent"/>
    <w:basedOn w:val="a"/>
    <w:link w:val="a6"/>
    <w:rsid w:val="00F50D10"/>
    <w:pPr>
      <w:spacing w:after="0" w:line="240" w:lineRule="auto"/>
      <w:ind w:firstLine="180"/>
    </w:pPr>
    <w:rPr>
      <w:rFonts w:ascii="Times New Roman" w:eastAsia="Calibri" w:hAnsi="Times New Roman" w:cs="Times New Roman"/>
      <w:sz w:val="24"/>
      <w:szCs w:val="24"/>
      <w:lang w:eastAsia="ru-RU"/>
    </w:rPr>
  </w:style>
  <w:style w:type="character" w:customStyle="1" w:styleId="a6">
    <w:name w:val="Основной текст с отступом Знак"/>
    <w:basedOn w:val="a0"/>
    <w:link w:val="a5"/>
    <w:rsid w:val="00F50D10"/>
    <w:rPr>
      <w:rFonts w:ascii="Times New Roman" w:eastAsia="Calibri" w:hAnsi="Times New Roman" w:cs="Times New Roman"/>
      <w:sz w:val="24"/>
      <w:szCs w:val="24"/>
      <w:lang w:eastAsia="ru-RU"/>
    </w:rPr>
  </w:style>
  <w:style w:type="paragraph" w:styleId="a7">
    <w:name w:val="List Paragraph"/>
    <w:basedOn w:val="a"/>
    <w:link w:val="a8"/>
    <w:uiPriority w:val="34"/>
    <w:qFormat/>
    <w:rsid w:val="007743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774348"/>
    <w:rPr>
      <w:rFonts w:ascii="Times New Roman" w:eastAsia="Times New Roman" w:hAnsi="Times New Roman" w:cs="Times New Roman"/>
      <w:sz w:val="24"/>
      <w:szCs w:val="24"/>
      <w:lang w:eastAsia="ru-RU"/>
    </w:rPr>
  </w:style>
  <w:style w:type="paragraph" w:customStyle="1" w:styleId="Default">
    <w:name w:val="Default"/>
    <w:rsid w:val="007743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99"/>
    <w:semiHidden/>
    <w:unhideWhenUsed/>
    <w:rsid w:val="00A23AAB"/>
    <w:pPr>
      <w:spacing w:after="120"/>
    </w:pPr>
  </w:style>
  <w:style w:type="character" w:customStyle="1" w:styleId="aa">
    <w:name w:val="Основной текст Знак"/>
    <w:basedOn w:val="a0"/>
    <w:link w:val="a9"/>
    <w:uiPriority w:val="99"/>
    <w:semiHidden/>
    <w:rsid w:val="00A23AAB"/>
  </w:style>
  <w:style w:type="paragraph" w:styleId="ab">
    <w:name w:val="Normal (Web)"/>
    <w:aliases w:val="Обычный (Web)"/>
    <w:basedOn w:val="a"/>
    <w:rsid w:val="00CA2C34"/>
    <w:pPr>
      <w:spacing w:before="120" w:after="120" w:line="240" w:lineRule="auto"/>
    </w:pPr>
    <w:rPr>
      <w:rFonts w:ascii="Times New Roman" w:eastAsia="Calibri" w:hAnsi="Times New Roman" w:cs="Times New Roman"/>
      <w:sz w:val="24"/>
      <w:szCs w:val="24"/>
      <w:lang w:eastAsia="ru-RU"/>
    </w:rPr>
  </w:style>
  <w:style w:type="character" w:styleId="ac">
    <w:name w:val="Emphasis"/>
    <w:uiPriority w:val="20"/>
    <w:qFormat/>
    <w:rsid w:val="007A3A4A"/>
    <w:rPr>
      <w:i/>
      <w:iCs/>
    </w:rPr>
  </w:style>
  <w:style w:type="character" w:customStyle="1" w:styleId="FontStyle84">
    <w:name w:val="Font Style84"/>
    <w:uiPriority w:val="99"/>
    <w:rsid w:val="00570E4A"/>
    <w:rPr>
      <w:rFonts w:ascii="Times New Roman" w:hAnsi="Times New Roman" w:cs="Times New Roman"/>
      <w:sz w:val="24"/>
      <w:szCs w:val="24"/>
    </w:rPr>
  </w:style>
  <w:style w:type="paragraph" w:styleId="ad">
    <w:name w:val="No Spacing"/>
    <w:link w:val="ae"/>
    <w:uiPriority w:val="99"/>
    <w:qFormat/>
    <w:rsid w:val="001D00CF"/>
    <w:pPr>
      <w:spacing w:after="0" w:line="240" w:lineRule="auto"/>
    </w:pPr>
    <w:rPr>
      <w:rFonts w:ascii="Calibri" w:eastAsia="Calibri" w:hAnsi="Calibri" w:cs="Times New Roman"/>
    </w:rPr>
  </w:style>
  <w:style w:type="character" w:customStyle="1" w:styleId="ae">
    <w:name w:val="Без интервала Знак"/>
    <w:basedOn w:val="a0"/>
    <w:link w:val="ad"/>
    <w:uiPriority w:val="99"/>
    <w:locked/>
    <w:rsid w:val="001D00CF"/>
    <w:rPr>
      <w:rFonts w:ascii="Calibri" w:eastAsia="Calibri" w:hAnsi="Calibri" w:cs="Times New Roman"/>
    </w:rPr>
  </w:style>
  <w:style w:type="character" w:styleId="af">
    <w:name w:val="Strong"/>
    <w:qFormat/>
    <w:rsid w:val="00DE1C36"/>
    <w:rPr>
      <w:b/>
      <w:bCs/>
    </w:rPr>
  </w:style>
  <w:style w:type="paragraph" w:styleId="af0">
    <w:name w:val="Title"/>
    <w:aliases w:val="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к3,Знак Зна"/>
    <w:basedOn w:val="a"/>
    <w:link w:val="af1"/>
    <w:qFormat/>
    <w:rsid w:val="005168E6"/>
    <w:pPr>
      <w:spacing w:after="0" w:line="240" w:lineRule="auto"/>
      <w:jc w:val="center"/>
    </w:pPr>
    <w:rPr>
      <w:rFonts w:ascii="Calibri" w:eastAsia="Calibri" w:hAnsi="Calibri" w:cs="Times New Roman"/>
      <w:b/>
      <w:bCs/>
      <w:sz w:val="24"/>
      <w:szCs w:val="24"/>
      <w:lang w:eastAsia="ru-RU"/>
    </w:rPr>
  </w:style>
  <w:style w:type="character" w:customStyle="1" w:styleId="af1">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 Знак2 Знак1 Знак1,Знак Знак3 Знак"/>
    <w:basedOn w:val="a0"/>
    <w:link w:val="af0"/>
    <w:rsid w:val="005168E6"/>
    <w:rPr>
      <w:rFonts w:ascii="Calibri" w:eastAsia="Calibri" w:hAnsi="Calibri" w:cs="Times New Roman"/>
      <w:b/>
      <w:bCs/>
      <w:sz w:val="24"/>
      <w:szCs w:val="24"/>
      <w:lang w:eastAsia="ru-RU"/>
    </w:rPr>
  </w:style>
  <w:style w:type="character" w:customStyle="1" w:styleId="highlighthighlightactive">
    <w:name w:val="highlight highlight_active"/>
    <w:basedOn w:val="a0"/>
    <w:rsid w:val="00516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3E0072264F978B31D93EB469552290036EDF35CDB73DC71E4D6923701E09DB22BC9E7D4D756E664CD935207634CC41126F50F789CgFUB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033E0072264F978B31D93EB469552290036EBF551D973DC71E4D6923701E09DA02B91EDD0DA4AED3382D50708g6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2AC1-A831-4177-B7E6-23F4C5BF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И.П.</dc:creator>
  <cp:keywords/>
  <dc:description/>
  <cp:lastModifiedBy>User</cp:lastModifiedBy>
  <cp:revision>48</cp:revision>
  <dcterms:created xsi:type="dcterms:W3CDTF">2017-04-21T05:10:00Z</dcterms:created>
  <dcterms:modified xsi:type="dcterms:W3CDTF">2023-04-14T12:45:00Z</dcterms:modified>
</cp:coreProperties>
</file>